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Hibner Barbara Louise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 HOLCOMBE BLVD STE X</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Decoy Therapeutics Inc.</w:t>
              </w:r>
            </w:hyperlink>
            <w:r>
              <w:rPr/>
              <w:t xml:space="preserve"> [ </w:t>
            </w:r>
            <w:r>
              <w:rPr>
                <w:rFonts w:ascii="Times;serif" w:hAnsi="Times;serif"/>
                <w:color w:val="0000FF"/>
                <w:sz w:val="24"/>
                <w:shd w:fill="FFFFFF" w:val="clear"/>
              </w:rPr>
              <w:t>DCOY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Scientific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under the Decoy Therapeutics Inc. 2026 Equity Incentive Plan. 25 percent of the restricted stock vested immediately, and the remainder will vest in approximately equal monthly increments over the next 36 months.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/s/Mark Rosenblum, as Attorney -in-Fact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9512" TargetMode="External"/><Relationship Id="rId5" Type="http://schemas.openxmlformats.org/officeDocument/2006/relationships/hyperlink" Target="http://www.sec.gov/cgi-bin/browse-edgar?action=getcompany&amp;CIK=00016152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601</Words>
  <Characters>3285</Characters>
  <CharactersWithSpaces>3819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