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Rosenblum Mark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 HOLCOMBE BLVD STE X</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Decoy Therapeutics Inc.</w:t>
              </w:r>
            </w:hyperlink>
            <w:r>
              <w:rPr/>
              <w:t xml:space="preserve"> [ </w:t>
            </w:r>
            <w:r>
              <w:rPr>
                <w:rFonts w:ascii="Times;serif" w:hAnsi="Times;serif"/>
                <w:color w:val="0000FF"/>
                <w:sz w:val="24"/>
                <w:shd w:fill="FFFFFF" w:val="clear"/>
              </w:rPr>
              <w:t>DCOY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11,363</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under the Decoy Therapeutics Inc. 2026 Equity Incentive Plan. 25 percent of the restricted stock vested immediately, and the remainder will vest in approximately equal monthly increments over the next 36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beneficially owned following the transaction have been adjusted to reflect the reverse stock splits effective on August 15, 2025 and March 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/s/Mark Rosenblum, as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9154" TargetMode="External"/><Relationship Id="rId5" Type="http://schemas.openxmlformats.org/officeDocument/2006/relationships/hyperlink" Target="http://www.sec.gov/cgi-bin/browse-edgar?action=getcompany&amp;CIK=0001615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3416</Characters>
  <CharactersWithSpaces>3974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