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19, 2026</w:t>
      </w:r>
    </w:p>
    <w:p>
      <w:pPr>
        <w:spacing w:after="0" w:line="200" w:lineRule="exact"/>
        <w:rPr>
          <w:sz w:val="24"/>
          <w:szCs w:val="24"/>
          <w:color w:val="auto"/>
        </w:rPr>
      </w:pPr>
    </w:p>
    <w:p>
      <w:pPr>
        <w:spacing w:after="0" w:line="34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DECOY THERAPEUTICS INC.</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0" w:lineRule="exact"/>
        <w:rPr>
          <w:sz w:val="24"/>
          <w:szCs w:val="24"/>
          <w:color w:val="auto"/>
        </w:rPr>
      </w:pPr>
    </w:p>
    <w:p>
      <w:pPr>
        <w:spacing w:after="0" w:line="261" w:lineRule="exact"/>
        <w:rPr>
          <w:sz w:val="24"/>
          <w:szCs w:val="24"/>
          <w:color w:val="auto"/>
        </w:rPr>
      </w:pPr>
    </w:p>
    <w:tbl>
      <w:tblPr>
        <w:tblLayout w:type="fixed"/>
        <w:tblInd w:w="580" w:type="dxa"/>
        <w:tblCellMar>
          <w:top w:w="0" w:type="dxa"/>
          <w:left w:w="0" w:type="dxa"/>
          <w:bottom w:w="0" w:type="dxa"/>
          <w:right w:w="0" w:type="dxa"/>
        </w:tblCellMar>
      </w:tblPr>
      <w:tr>
        <w:trPr>
          <w:trHeight w:val="224"/>
        </w:trPr>
        <w:tc>
          <w:tcPr>
            <w:tcW w:w="28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800" w:type="dxa"/>
            <w:vAlign w:val="bottom"/>
          </w:tcPr>
          <w:p>
            <w:pPr>
              <w:jc w:val="center"/>
              <w:ind w:right="256"/>
              <w:spacing w:after="0"/>
              <w:rPr>
                <w:sz w:val="20"/>
                <w:szCs w:val="20"/>
                <w:color w:val="auto"/>
              </w:rPr>
            </w:pPr>
            <w:r>
              <w:rPr>
                <w:rFonts w:ascii="Times New Roman" w:cs="Times New Roman" w:eastAsia="Times New Roman" w:hAnsi="Times New Roman"/>
                <w:sz w:val="18"/>
                <w:szCs w:val="18"/>
                <w:b w:val="1"/>
                <w:bCs w:val="1"/>
                <w:color w:val="auto"/>
                <w:w w:val="99"/>
              </w:rPr>
              <w:t>001-36812</w:t>
            </w:r>
          </w:p>
        </w:tc>
        <w:tc>
          <w:tcPr>
            <w:tcW w:w="17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47-5087339</w:t>
            </w:r>
          </w:p>
        </w:tc>
        <w:tc>
          <w:tcPr>
            <w:tcW w:w="0" w:type="dxa"/>
            <w:vAlign w:val="bottom"/>
          </w:tcPr>
          <w:p>
            <w:pPr>
              <w:spacing w:after="0"/>
              <w:rPr>
                <w:sz w:val="1"/>
                <w:szCs w:val="1"/>
                <w:color w:val="auto"/>
              </w:rPr>
            </w:pPr>
          </w:p>
        </w:tc>
      </w:tr>
      <w:tr>
        <w:trPr>
          <w:trHeight w:val="203"/>
        </w:trPr>
        <w:tc>
          <w:tcPr>
            <w:tcW w:w="28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4800" w:type="dxa"/>
            <w:vAlign w:val="bottom"/>
          </w:tcPr>
          <w:p>
            <w:pPr>
              <w:jc w:val="center"/>
              <w:ind w:right="256"/>
              <w:spacing w:after="0"/>
              <w:rPr>
                <w:sz w:val="20"/>
                <w:szCs w:val="20"/>
                <w:color w:val="auto"/>
              </w:rPr>
            </w:pPr>
            <w:r>
              <w:rPr>
                <w:rFonts w:ascii="Times New Roman" w:cs="Times New Roman" w:eastAsia="Times New Roman" w:hAnsi="Times New Roman"/>
                <w:sz w:val="16"/>
                <w:szCs w:val="16"/>
                <w:color w:val="auto"/>
                <w:w w:val="99"/>
              </w:rPr>
              <w:t>(Commission</w:t>
            </w:r>
          </w:p>
        </w:tc>
        <w:tc>
          <w:tcPr>
            <w:tcW w:w="1780" w:type="dxa"/>
            <w:vAlign w:val="bottom"/>
          </w:tcPr>
          <w:p>
            <w:pPr>
              <w:jc w:val="center"/>
              <w:ind w:left="519"/>
              <w:spacing w:after="0"/>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10"/>
        </w:trPr>
        <w:tc>
          <w:tcPr>
            <w:tcW w:w="28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of incorporation)</w:t>
            </w:r>
          </w:p>
        </w:tc>
        <w:tc>
          <w:tcPr>
            <w:tcW w:w="4800" w:type="dxa"/>
            <w:vAlign w:val="bottom"/>
          </w:tcPr>
          <w:p>
            <w:pPr>
              <w:jc w:val="center"/>
              <w:ind w:right="256"/>
              <w:spacing w:after="0"/>
              <w:rPr>
                <w:sz w:val="20"/>
                <w:szCs w:val="20"/>
                <w:color w:val="auto"/>
              </w:rPr>
            </w:pPr>
            <w:r>
              <w:rPr>
                <w:rFonts w:ascii="Times New Roman" w:cs="Times New Roman" w:eastAsia="Times New Roman" w:hAnsi="Times New Roman"/>
                <w:sz w:val="16"/>
                <w:szCs w:val="16"/>
                <w:color w:val="auto"/>
                <w:w w:val="99"/>
              </w:rPr>
              <w:t>File Number)</w:t>
            </w:r>
          </w:p>
        </w:tc>
        <w:tc>
          <w:tcPr>
            <w:tcW w:w="1780" w:type="dxa"/>
            <w:vAlign w:val="bottom"/>
          </w:tcPr>
          <w:p>
            <w:pPr>
              <w:jc w:val="center"/>
              <w:ind w:left="499"/>
              <w:spacing w:after="0"/>
              <w:rPr>
                <w:sz w:val="20"/>
                <w:szCs w:val="20"/>
                <w:color w:val="auto"/>
              </w:rPr>
            </w:pPr>
            <w:r>
              <w:rPr>
                <w:rFonts w:ascii="Times New Roman" w:cs="Times New Roman" w:eastAsia="Times New Roman" w:hAnsi="Times New Roman"/>
                <w:sz w:val="16"/>
                <w:szCs w:val="16"/>
                <w:color w:val="auto"/>
              </w:rPr>
              <w:t>Identification No.)</w:t>
            </w:r>
          </w:p>
        </w:tc>
        <w:tc>
          <w:tcPr>
            <w:tcW w:w="0" w:type="dxa"/>
            <w:vAlign w:val="bottom"/>
          </w:tcPr>
          <w:p>
            <w:pPr>
              <w:spacing w:after="0"/>
              <w:rPr>
                <w:sz w:val="1"/>
                <w:szCs w:val="1"/>
                <w:color w:val="auto"/>
              </w:rPr>
            </w:pPr>
          </w:p>
        </w:tc>
      </w:tr>
      <w:tr>
        <w:trPr>
          <w:trHeight w:val="247"/>
        </w:trPr>
        <w:tc>
          <w:tcPr>
            <w:tcW w:w="28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2450 Holcombe Blvd.</w:t>
            </w:r>
          </w:p>
        </w:tc>
        <w:tc>
          <w:tcPr>
            <w:tcW w:w="4800" w:type="dxa"/>
            <w:vAlign w:val="bottom"/>
          </w:tcPr>
          <w:p>
            <w:pPr>
              <w:spacing w:after="0"/>
              <w:rPr>
                <w:sz w:val="21"/>
                <w:szCs w:val="21"/>
                <w:color w:val="auto"/>
              </w:rPr>
            </w:pPr>
          </w:p>
        </w:tc>
        <w:tc>
          <w:tcPr>
            <w:tcW w:w="17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77021</w:t>
            </w:r>
          </w:p>
        </w:tc>
        <w:tc>
          <w:tcPr>
            <w:tcW w:w="0" w:type="dxa"/>
            <w:vAlign w:val="bottom"/>
          </w:tcPr>
          <w:p>
            <w:pPr>
              <w:spacing w:after="0"/>
              <w:rPr>
                <w:sz w:val="1"/>
                <w:szCs w:val="1"/>
                <w:color w:val="auto"/>
              </w:rPr>
            </w:pPr>
          </w:p>
        </w:tc>
      </w:tr>
      <w:tr>
        <w:trPr>
          <w:trHeight w:val="203"/>
        </w:trPr>
        <w:tc>
          <w:tcPr>
            <w:tcW w:w="28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Suite X</w:t>
            </w:r>
          </w:p>
        </w:tc>
        <w:tc>
          <w:tcPr>
            <w:tcW w:w="4800" w:type="dxa"/>
            <w:vAlign w:val="bottom"/>
          </w:tcPr>
          <w:p>
            <w:pPr>
              <w:spacing w:after="0"/>
              <w:rPr>
                <w:sz w:val="17"/>
                <w:szCs w:val="17"/>
                <w:color w:val="auto"/>
              </w:rPr>
            </w:pPr>
          </w:p>
        </w:tc>
        <w:tc>
          <w:tcPr>
            <w:tcW w:w="1780" w:type="dxa"/>
            <w:vAlign w:val="bottom"/>
          </w:tcPr>
          <w:p>
            <w:pPr>
              <w:jc w:val="center"/>
              <w:ind w:left="499"/>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205"/>
        </w:trPr>
        <w:tc>
          <w:tcPr>
            <w:tcW w:w="28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Houston, TX</w:t>
            </w:r>
          </w:p>
        </w:tc>
        <w:tc>
          <w:tcPr>
            <w:tcW w:w="4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2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800" w:type="dxa"/>
            <w:vAlign w:val="bottom"/>
            <w:vMerge w:val="restart"/>
          </w:tcPr>
          <w:p>
            <w:pPr>
              <w:jc w:val="center"/>
              <w:ind w:right="276"/>
              <w:spacing w:after="0"/>
              <w:rPr>
                <w:sz w:val="20"/>
                <w:szCs w:val="20"/>
                <w:color w:val="auto"/>
              </w:rPr>
            </w:pPr>
            <w:r>
              <w:rPr>
                <w:rFonts w:ascii="Times New Roman" w:cs="Times New Roman" w:eastAsia="Times New Roman" w:hAnsi="Times New Roman"/>
                <w:sz w:val="18"/>
                <w:szCs w:val="18"/>
                <w:b w:val="1"/>
                <w:bCs w:val="1"/>
                <w:color w:val="auto"/>
                <w:w w:val="99"/>
              </w:rPr>
              <w:t>(713) 913-5608</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20" w:type="dxa"/>
            <w:vAlign w:val="bottom"/>
          </w:tcPr>
          <w:p>
            <w:pPr>
              <w:spacing w:after="0"/>
              <w:rPr>
                <w:sz w:val="18"/>
                <w:szCs w:val="18"/>
                <w:color w:val="auto"/>
              </w:rPr>
            </w:pPr>
          </w:p>
        </w:tc>
        <w:tc>
          <w:tcPr>
            <w:tcW w:w="480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4800" w:type="dxa"/>
            <w:vAlign w:val="bottom"/>
          </w:tcPr>
          <w:p>
            <w:pPr>
              <w:jc w:val="center"/>
              <w:ind w:right="276"/>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2820" w:type="dxa"/>
            <w:vAlign w:val="bottom"/>
          </w:tcPr>
          <w:p>
            <w:pPr>
              <w:spacing w:after="0"/>
              <w:rPr>
                <w:sz w:val="24"/>
                <w:szCs w:val="24"/>
                <w:color w:val="auto"/>
              </w:rPr>
            </w:pPr>
          </w:p>
        </w:tc>
        <w:tc>
          <w:tcPr>
            <w:tcW w:w="4800" w:type="dxa"/>
            <w:vAlign w:val="bottom"/>
          </w:tcPr>
          <w:p>
            <w:pPr>
              <w:jc w:val="center"/>
              <w:ind w:right="276"/>
              <w:spacing w:after="0"/>
              <w:rPr>
                <w:sz w:val="20"/>
                <w:szCs w:val="20"/>
                <w:color w:val="auto"/>
              </w:rPr>
            </w:pPr>
            <w:r>
              <w:rPr>
                <w:rFonts w:ascii="Times New Roman" w:cs="Times New Roman" w:eastAsia="Times New Roman" w:hAnsi="Times New Roman"/>
                <w:sz w:val="16"/>
                <w:szCs w:val="16"/>
                <w:color w:val="auto"/>
              </w:rPr>
              <w:t>N/A</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4800" w:type="dxa"/>
            <w:vAlign w:val="bottom"/>
          </w:tcPr>
          <w:p>
            <w:pPr>
              <w:jc w:val="center"/>
              <w:ind w:right="256"/>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00" w:type="dxa"/>
            <w:vAlign w:val="bottom"/>
          </w:tcPr>
          <w:p>
            <w:pPr>
              <w:spacing w:after="0"/>
              <w:rPr>
                <w:sz w:val="13"/>
                <w:szCs w:val="13"/>
                <w:color w:val="auto"/>
              </w:rPr>
            </w:pPr>
          </w:p>
        </w:tc>
        <w:tc>
          <w:tcPr>
            <w:tcW w:w="4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00" w:type="dxa"/>
            <w:vAlign w:val="bottom"/>
          </w:tcPr>
          <w:p>
            <w:pPr>
              <w:spacing w:after="0"/>
              <w:rPr>
                <w:sz w:val="15"/>
                <w:szCs w:val="15"/>
                <w:color w:val="auto"/>
              </w:rPr>
            </w:pPr>
          </w:p>
        </w:tc>
        <w:tc>
          <w:tcPr>
            <w:tcW w:w="4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6"/>
                <w:szCs w:val="16"/>
                <w:b w:val="1"/>
                <w:bCs w:val="1"/>
                <w:color w:val="auto"/>
              </w:rPr>
              <w:t>par value $0.0001 per share</w:t>
            </w:r>
          </w:p>
        </w:tc>
        <w:tc>
          <w:tcPr>
            <w:tcW w:w="2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DCOY</w:t>
            </w:r>
          </w:p>
        </w:tc>
        <w:tc>
          <w:tcPr>
            <w:tcW w:w="20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5.08. Shareholder Director Nominations.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applicable, the information in Item 8.01 of this Current Report on Form 8-K is incorporated by reference into this Item 5.08.</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May 12, 2026, the Board of Directors of Decoy Therapeutics Inc. (the “Company”) established July 14, 2026, as the date of the Company’s 2026 Annual Meeting of Stockholders (the “2026 Annual Meeting”). The time, location, and other meeting details for the 2026 Annual Meeting will be set forth in the Company’s proxy statement for the 2026 Annual Meeting, which will be filed with the U.S. Securities and Exchange Commission (“SEC”) prior to the 2026 Annual Meeting.</w:t>
      </w:r>
    </w:p>
    <w:p>
      <w:pPr>
        <w:spacing w:after="0" w:line="13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Stockholders of record at the close of business on May 22, 2026 will be entitled to notice of and to vote at the 2026 Annual Meeting or any adjournment thereof.</w:t>
      </w:r>
    </w:p>
    <w:p>
      <w:pPr>
        <w:spacing w:after="0" w:line="13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Because the date of the 2026 Annual Meeting has been changed by more than 30 days from the anniversary of the date of the Company’s last annual meeting of stockholders, in accordance with Rule 14a-5(f) under the Securities Exchange Act of 1934, as amended (the “Exchange Act”), the Company is informing stockholders of such change. Furthermore, new deadlines have been set for submission of proposals by stockholders intended to be presented at the 2026 Annual Meeting and included in the Company’s proxy statement for the 2026 Annual Meeting.</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accordance with Rule 14a-8 under the Exchange Act (“Rule 14a-8”), if a stockholder wishes to present a proposal for inclusion in the proxy materials for the 2026 Annual Meeting, the Company’s Secretary must receive written notice of such proposal at the Company’s principal executive offices no later than the close of business on May 29, 2026, which the Company has determined to be a reasonable time before it expects to begin to print and send its proxy materials. Any such proposal must (i) meet the requirements set forth in the rules and regulations of the SEC in order to be eligible for inclusion in the proxy materials for the 2026 Annual Meeting and (ii) contain the information specified in, and otherwise comply with, the Company’s Amended and Restated Bylaws (as amended, the “Bylaws”).</w:t>
      </w:r>
    </w:p>
    <w:p>
      <w:pPr>
        <w:spacing w:after="0" w:line="1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accordance with the advance notice procedures set forth in the Bylaws, if a stockholder wishes to bring business before the 2026 Annual Meeting outside of Rule 14a-8 or to nominate a person for election as a director at the 2026 Annual Meeting, such proposal must be delivered to the Company’s Secretary at the Company’s principal executive offices prior to the close of business on May 29, 2026, which is the 10th day following the day on which public announcement of the date of the 2026 Annual Meeting is first made by the Company. Any such proposal must contain the information specified in, and otherwise comply with, the Bylaws. Any such proposal must be delivered to: Decoy Therapeutics Inc., Attn: Secretary, 2450 Holcombe Blvd., Suite X, Houston, TX 77021. In addition to satisfying the procedures set forth in the Bylaws, to comply with the universal proxy rules under the Exchange Act, stockholders who intend to solicit proxies in support of director nominees other than the Company’s nominees must provide notice that sets forth the information required by Rule 14a-19 under the Exchange Act, no later than May 29, 2026, which is the later of 60 calendar days prior to the date of the 2026 Annual Meeting or the 10th calendar day following the day on which public announcement of the date of the 2026 Annual Meeting is first made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3345180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80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ecoy</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herapeutics inc</w:t>
            </w:r>
            <w:r>
              <w:rPr>
                <w:rFonts w:ascii="Times New Roman" w:cs="Times New Roman" w:eastAsia="Times New Roman" w:hAnsi="Times New Roman"/>
                <w:sz w:val="18"/>
                <w:szCs w:val="18"/>
                <w:color w:val="auto"/>
              </w:rPr>
              <w:t>.</w:t>
            </w:r>
          </w:p>
        </w:tc>
      </w:tr>
      <w:tr>
        <w:trPr>
          <w:trHeight w:val="648"/>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2026</w:t>
            </w:r>
          </w:p>
        </w:tc>
        <w:tc>
          <w:tcPr>
            <w:tcW w:w="80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J. Rosenblum</w:t>
            </w:r>
          </w:p>
        </w:tc>
      </w:tr>
      <w:tr>
        <w:trPr>
          <w:trHeight w:val="191"/>
        </w:trPr>
        <w:tc>
          <w:tcPr>
            <w:tcW w:w="32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J. Rosenblum</w:t>
            </w:r>
          </w:p>
        </w:tc>
      </w:tr>
      <w:tr>
        <w:trPr>
          <w:trHeight w:val="234"/>
        </w:trPr>
        <w:tc>
          <w:tcPr>
            <w:tcW w:w="32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1195"/>
        </w:trPr>
        <w:tc>
          <w:tcPr>
            <w:tcW w:w="32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5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2026-05-19T15:11:11Z</dcterms:created>
  <dcterms:modified xsi:type="dcterms:W3CDTF">2026-05-19T15:11:11Z</dcterms:modified>
</cp:coreProperties>
</file>