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coy-20260710.htm"/>
      <w:bookmarkStart w:id="1" w:name="ksdcoy20260710"/>
      <w:bookmarkEnd w:id="0"/>
      <w:bookmarkEnd w:id="1"/>
      <w:r>
        <w:rPr/>
        <w:t> </w:t>
      </w:r>
    </w:p>
    <w:p>
      <w:pPr>
        <w:pStyle w:val="TextBody"/>
        <w:bidi w:val="0"/>
        <w:spacing w:before="0" w:after="60"/>
        <w:jc w:val="center"/>
        <w:rPr>
          <w:rFonts w:ascii="Times New Roman" w:hAnsi="Times New Roman"/>
          <w:b/>
          <w:i/>
          <w:color w:val="000000"/>
          <w:sz w:val="22"/>
        </w:rPr>
      </w:pPr>
      <w:r>
        <w:rPr>
          <w:rFonts w:ascii="Times New Roman" w:hAnsi="Times New Roman"/>
          <w:b/>
          <w:i/>
          <w:color w:val="000000"/>
          <w:sz w:val="22"/>
        </w:rPr>
        <w:t>As filed with the Securities and Exchange Commission on July 10, 2026</w:t>
      </w:r>
    </w:p>
    <w:p>
      <w:pPr>
        <w:pStyle w:val="TextBody"/>
        <w:bidi w:val="0"/>
        <w:jc w:val="right"/>
        <w:rPr>
          <w:rFonts w:ascii="Times New Roman" w:hAnsi="Times New Roman"/>
          <w:b/>
          <w:color w:val="000000"/>
          <w:sz w:val="22"/>
        </w:rPr>
      </w:pPr>
      <w:r>
        <w:rPr>
          <w:rFonts w:ascii="Times New Roman" w:hAnsi="Times New Roman"/>
          <w:b/>
          <w:color w:val="000000"/>
          <w:sz w:val="22"/>
        </w:rPr>
        <w:t>Registration No. 333-</w:t>
      </w:r>
    </w:p>
    <w:p>
      <w:pPr>
        <w:pStyle w:val="TextBody"/>
        <w:bidi w:val="0"/>
        <w:jc w:val="center"/>
        <w:rPr>
          <w:rFonts w:ascii="Times New Roman" w:hAnsi="Times New Roman"/>
          <w:b/>
          <w:color w:val="000000"/>
          <w:sz w:val="18"/>
        </w:rPr>
      </w:pPr>
      <w:r>
        <w:rPr>
          <w:rFonts w:ascii="Times New Roman" w:hAnsi="Times New Roman"/>
          <w:b/>
          <w:color w:val="000000"/>
          <w:sz w:val="18"/>
        </w:rPr>
        <w:t>UNITED STATES</w:t>
      </w:r>
    </w:p>
    <w:p>
      <w:pPr>
        <w:pStyle w:val="TextBody"/>
        <w:bidi w:val="0"/>
        <w:jc w:val="center"/>
        <w:rPr>
          <w:rFonts w:ascii="Times New Roman" w:hAnsi="Times New Roman"/>
          <w:b/>
          <w:color w:val="000000"/>
          <w:sz w:val="18"/>
        </w:rPr>
      </w:pPr>
      <w:r>
        <w:rPr>
          <w:rFonts w:ascii="Times New Roman" w:hAnsi="Times New Roman"/>
          <w:b/>
          <w:color w:val="000000"/>
          <w:sz w:val="18"/>
        </w:rPr>
        <w:t>SECURITIES AND EXCHANGE COMMISSION</w:t>
      </w:r>
    </w:p>
    <w:p>
      <w:pPr>
        <w:pStyle w:val="TextBody"/>
        <w:bidi w:val="0"/>
        <w:spacing w:before="0" w:after="6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rFonts w:ascii="Times New Roman" w:hAnsi="Times New Roman"/>
          <w:b/>
          <w:color w:val="000000"/>
          <w:sz w:val="24"/>
        </w:rPr>
      </w:pPr>
      <w:r>
        <w:rPr>
          <w:rFonts w:ascii="Times New Roman" w:hAnsi="Times New Roman"/>
          <w:b/>
          <w:color w:val="000000"/>
          <w:sz w:val="24"/>
        </w:rPr>
        <w:t>FORM S-1</w:t>
      </w:r>
    </w:p>
    <w:p>
      <w:pPr>
        <w:pStyle w:val="TextBody"/>
        <w:bidi w:val="0"/>
        <w:jc w:val="center"/>
        <w:rPr>
          <w:rFonts w:ascii="Times New Roman" w:hAnsi="Times New Roman"/>
          <w:b/>
          <w:color w:val="000000"/>
          <w:sz w:val="18"/>
        </w:rPr>
      </w:pPr>
      <w:r>
        <w:rPr>
          <w:rFonts w:ascii="Times New Roman" w:hAnsi="Times New Roman"/>
          <w:b/>
          <w:color w:val="000000"/>
          <w:sz w:val="18"/>
        </w:rPr>
        <w:t>REGISTRATION STATEMENT</w:t>
      </w:r>
    </w:p>
    <w:p>
      <w:pPr>
        <w:pStyle w:val="TextBody"/>
        <w:bidi w:val="0"/>
        <w:jc w:val="center"/>
        <w:rPr>
          <w:rFonts w:ascii="Times New Roman" w:hAnsi="Times New Roman"/>
          <w:b/>
          <w:i/>
          <w:color w:val="000000"/>
          <w:sz w:val="18"/>
        </w:rPr>
      </w:pPr>
      <w:r>
        <w:rPr>
          <w:rFonts w:ascii="Times New Roman" w:hAnsi="Times New Roman"/>
          <w:b/>
          <w:i/>
          <w:color w:val="000000"/>
          <w:sz w:val="18"/>
        </w:rPr>
        <w:t>UNDER</w:t>
      </w:r>
    </w:p>
    <w:p>
      <w:pPr>
        <w:pStyle w:val="TextBody"/>
        <w:bidi w:val="0"/>
        <w:spacing w:before="0" w:after="60"/>
        <w:jc w:val="center"/>
        <w:rPr>
          <w:rFonts w:ascii="Times New Roman" w:hAnsi="Times New Roman"/>
          <w:b/>
          <w:i/>
          <w:color w:val="000000"/>
          <w:sz w:val="18"/>
        </w:rPr>
      </w:pPr>
      <w:r>
        <w:rPr>
          <w:rFonts w:ascii="Times New Roman" w:hAnsi="Times New Roman"/>
          <w:b/>
          <w:i/>
          <w:color w:val="000000"/>
          <w:sz w:val="18"/>
        </w:rPr>
        <w:t>THE SECURITIES ACT OF 1933</w:t>
      </w:r>
    </w:p>
    <w:p>
      <w:pPr>
        <w:pStyle w:val="TextBody"/>
        <w:bidi w:val="0"/>
        <w:spacing w:before="0" w:after="40"/>
        <w:jc w:val="center"/>
        <w:rPr>
          <w:rFonts w:ascii="Times New Roman" w:hAnsi="Times New Roman"/>
          <w:b/>
          <w:color w:val="000000"/>
          <w:sz w:val="22"/>
        </w:rPr>
      </w:pPr>
      <w:r>
        <w:rPr>
          <w:rFonts w:ascii="Times New Roman" w:hAnsi="Times New Roman"/>
          <w:b/>
          <w:color w:val="000000"/>
          <w:sz w:val="22"/>
        </w:rPr>
        <w:t>DECOY THERAPEUTICS INC.</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tbl>
      <w:tblPr>
        <w:tblW w:w="10205" w:type="dxa"/>
        <w:jc w:val="left"/>
        <w:tblInd w:w="0" w:type="dxa"/>
        <w:tblLayout w:type="fixed"/>
        <w:tblCellMar>
          <w:top w:w="28" w:type="dxa"/>
          <w:left w:w="28" w:type="dxa"/>
          <w:bottom w:w="28" w:type="dxa"/>
          <w:right w:w="28" w:type="dxa"/>
        </w:tblCellMar>
      </w:tblPr>
      <w:tblGrid>
        <w:gridCol w:w="3821"/>
        <w:gridCol w:w="3674"/>
        <w:gridCol w:w="2710"/>
      </w:tblGrid>
      <w:tr>
        <w:trPr/>
        <w:tc>
          <w:tcPr>
            <w:tcW w:w="3821" w:type="dxa"/>
            <w:tcBorders/>
            <w:vAlign w:val="center"/>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r>
      <w:tr>
        <w:trPr/>
        <w:tc>
          <w:tcPr>
            <w:tcW w:w="3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3674"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2834</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(Primary Standard Industrial Classification Code Number)</w:t>
            </w:r>
          </w:p>
        </w:tc>
        <w:tc>
          <w:tcPr>
            <w:tcW w:w="271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46-5087339</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Number)</w:t>
            </w:r>
          </w:p>
        </w:tc>
      </w:tr>
    </w:tbl>
    <w:p>
      <w:pPr>
        <w:pStyle w:val="TextBody"/>
        <w:bidi w:val="0"/>
        <w:jc w:val="center"/>
        <w:rPr>
          <w:rFonts w:ascii="Times New Roman" w:hAnsi="Times New Roman"/>
          <w:b/>
          <w:color w:val="000000"/>
          <w:sz w:val="18"/>
        </w:rPr>
      </w:pPr>
      <w:r>
        <w:rPr>
          <w:rFonts w:ascii="Times New Roman" w:hAnsi="Times New Roman"/>
          <w:b/>
          <w:color w:val="000000"/>
          <w:sz w:val="18"/>
        </w:rPr>
        <w:t>2450 Holcombe Blvd., Suite X</w:t>
      </w:r>
    </w:p>
    <w:p>
      <w:pPr>
        <w:pStyle w:val="TextBody"/>
        <w:bidi w:val="0"/>
        <w:jc w:val="center"/>
        <w:rPr>
          <w:rFonts w:ascii="Times New Roman" w:hAnsi="Times New Roman"/>
          <w:b/>
          <w:color w:val="000000"/>
          <w:sz w:val="18"/>
        </w:rPr>
      </w:pPr>
      <w:r>
        <w:rPr>
          <w:rFonts w:ascii="Times New Roman" w:hAnsi="Times New Roman"/>
          <w:b/>
          <w:color w:val="000000"/>
          <w:sz w:val="18"/>
        </w:rPr>
        <w:t>Houston, TX 77021</w:t>
      </w:r>
    </w:p>
    <w:p>
      <w:pPr>
        <w:pStyle w:val="TextBody"/>
        <w:bidi w:val="0"/>
        <w:spacing w:before="0" w:after="40"/>
        <w:jc w:val="center"/>
        <w:rPr>
          <w:rFonts w:ascii="Times New Roman" w:hAnsi="Times New Roman"/>
          <w:b/>
          <w:color w:val="000000"/>
          <w:sz w:val="18"/>
        </w:rPr>
      </w:pPr>
      <w:r>
        <w:rPr>
          <w:rFonts w:ascii="Times New Roman" w:hAnsi="Times New Roman"/>
          <w:b/>
          <w:color w:val="000000"/>
          <w:sz w:val="18"/>
        </w:rPr>
        <w:t>(713) 913-5608</w:t>
      </w:r>
    </w:p>
    <w:p>
      <w:pPr>
        <w:pStyle w:val="TextBody"/>
        <w:bidi w:val="0"/>
        <w:spacing w:before="0" w:after="60"/>
        <w:jc w:val="center"/>
        <w:rPr>
          <w:rFonts w:ascii="Times New Roman" w:hAnsi="Times New Roman"/>
          <w:i/>
          <w:color w:val="000000"/>
          <w:sz w:val="16"/>
        </w:rPr>
      </w:pPr>
      <w:r>
        <w:rPr>
          <w:rFonts w:ascii="Times New Roman" w:hAnsi="Times New Roman"/>
          <w:i/>
          <w:color w:val="000000"/>
          <w:sz w:val="16"/>
        </w:rPr>
        <w:t>(Address, including zip code, and telephone number, including area code, of registrant’s principal executive offices)</w:t>
      </w:r>
    </w:p>
    <w:p>
      <w:pPr>
        <w:pStyle w:val="TextBody"/>
        <w:bidi w:val="0"/>
        <w:jc w:val="center"/>
        <w:rPr>
          <w:rFonts w:ascii="Times New Roman" w:hAnsi="Times New Roman"/>
          <w:b/>
          <w:color w:val="000000"/>
          <w:sz w:val="18"/>
        </w:rPr>
      </w:pPr>
      <w:r>
        <w:rPr>
          <w:rFonts w:ascii="Times New Roman" w:hAnsi="Times New Roman"/>
          <w:b/>
          <w:color w:val="000000"/>
          <w:sz w:val="18"/>
        </w:rPr>
        <w:t>Frederick E. Pierce</w:t>
      </w:r>
    </w:p>
    <w:p>
      <w:pPr>
        <w:pStyle w:val="TextBody"/>
        <w:bidi w:val="0"/>
        <w:jc w:val="center"/>
        <w:rPr>
          <w:rFonts w:ascii="Times New Roman" w:hAnsi="Times New Roman"/>
          <w:b/>
          <w:color w:val="000000"/>
          <w:sz w:val="18"/>
        </w:rPr>
      </w:pPr>
      <w:r>
        <w:rPr>
          <w:rFonts w:ascii="Times New Roman" w:hAnsi="Times New Roman"/>
          <w:b/>
          <w:color w:val="000000"/>
          <w:sz w:val="18"/>
        </w:rPr>
        <w:t>Chief Executive Officer</w:t>
      </w:r>
    </w:p>
    <w:p>
      <w:pPr>
        <w:pStyle w:val="TextBody"/>
        <w:bidi w:val="0"/>
        <w:jc w:val="center"/>
        <w:rPr>
          <w:rFonts w:ascii="Times New Roman" w:hAnsi="Times New Roman"/>
          <w:b/>
          <w:color w:val="000000"/>
          <w:sz w:val="18"/>
        </w:rPr>
      </w:pPr>
      <w:r>
        <w:rPr>
          <w:rFonts w:ascii="Times New Roman" w:hAnsi="Times New Roman"/>
          <w:b/>
          <w:color w:val="000000"/>
          <w:sz w:val="18"/>
        </w:rPr>
        <w:t>Decoy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2450 Holcombe Blvd., Suite X</w:t>
      </w:r>
    </w:p>
    <w:p>
      <w:pPr>
        <w:pStyle w:val="TextBody"/>
        <w:bidi w:val="0"/>
        <w:jc w:val="center"/>
        <w:rPr>
          <w:rFonts w:ascii="Times New Roman" w:hAnsi="Times New Roman"/>
          <w:b/>
          <w:color w:val="000000"/>
          <w:sz w:val="18"/>
        </w:rPr>
      </w:pPr>
      <w:r>
        <w:rPr>
          <w:rFonts w:ascii="Times New Roman" w:hAnsi="Times New Roman"/>
          <w:b/>
          <w:color w:val="000000"/>
          <w:sz w:val="18"/>
        </w:rPr>
        <w:t>Houston, TX 77021</w:t>
      </w:r>
    </w:p>
    <w:p>
      <w:pPr>
        <w:pStyle w:val="TextBody"/>
        <w:bidi w:val="0"/>
        <w:spacing w:before="0" w:after="40"/>
        <w:jc w:val="center"/>
        <w:rPr>
          <w:rFonts w:ascii="Times New Roman" w:hAnsi="Times New Roman"/>
          <w:b/>
          <w:color w:val="000000"/>
          <w:sz w:val="18"/>
        </w:rPr>
      </w:pPr>
      <w:r>
        <w:rPr>
          <w:rFonts w:ascii="Times New Roman" w:hAnsi="Times New Roman"/>
          <w:b/>
          <w:color w:val="000000"/>
          <w:sz w:val="18"/>
        </w:rPr>
        <w:t>(713) 913-5608</w:t>
      </w:r>
    </w:p>
    <w:p>
      <w:pPr>
        <w:pStyle w:val="TextBody"/>
        <w:bidi w:val="0"/>
        <w:spacing w:before="0" w:after="60"/>
        <w:jc w:val="center"/>
        <w:rPr>
          <w:rFonts w:ascii="Times New Roman" w:hAnsi="Times New Roman"/>
          <w:i/>
          <w:color w:val="000000"/>
          <w:sz w:val="16"/>
        </w:rPr>
      </w:pPr>
      <w:r>
        <w:rPr>
          <w:rFonts w:ascii="Times New Roman" w:hAnsi="Times New Roman"/>
          <w:i/>
          <w:color w:val="000000"/>
          <w:sz w:val="16"/>
        </w:rPr>
        <w:t>(Name, address, including zip code, and telephone number, including area code, of agent for service)</w:t>
      </w:r>
    </w:p>
    <w:p>
      <w:pPr>
        <w:pStyle w:val="TextBody"/>
        <w:bidi w:val="0"/>
        <w:jc w:val="center"/>
        <w:rPr>
          <w:rFonts w:ascii="Times New Roman" w:hAnsi="Times New Roman"/>
          <w:b/>
          <w:i/>
          <w:color w:val="000000"/>
          <w:sz w:val="18"/>
        </w:rPr>
      </w:pPr>
      <w:r>
        <w:rPr>
          <w:rFonts w:ascii="Times New Roman" w:hAnsi="Times New Roman"/>
          <w:b/>
          <w:i/>
          <w:color w:val="000000"/>
          <w:sz w:val="18"/>
        </w:rPr>
        <w:t>Copies to:</w:t>
      </w:r>
    </w:p>
    <w:p>
      <w:pPr>
        <w:pStyle w:val="TextBody"/>
        <w:bidi w:val="0"/>
        <w:jc w:val="center"/>
        <w:rPr>
          <w:rFonts w:ascii="Times New Roman" w:hAnsi="Times New Roman"/>
          <w:b/>
          <w:color w:val="000000"/>
          <w:sz w:val="18"/>
        </w:rPr>
      </w:pPr>
      <w:r>
        <w:rPr>
          <w:rFonts w:ascii="Times New Roman" w:hAnsi="Times New Roman"/>
          <w:b/>
          <w:color w:val="000000"/>
          <w:sz w:val="18"/>
        </w:rPr>
        <w:t>Jeffrey H. Kuras, Esq.</w:t>
      </w:r>
    </w:p>
    <w:p>
      <w:pPr>
        <w:pStyle w:val="TextBody"/>
        <w:bidi w:val="0"/>
        <w:jc w:val="center"/>
        <w:rPr>
          <w:rFonts w:ascii="Times New Roman" w:hAnsi="Times New Roman"/>
          <w:b/>
          <w:color w:val="000000"/>
          <w:sz w:val="18"/>
        </w:rPr>
      </w:pPr>
      <w:r>
        <w:rPr>
          <w:rFonts w:ascii="Times New Roman" w:hAnsi="Times New Roman"/>
          <w:b/>
          <w:color w:val="000000"/>
          <w:sz w:val="18"/>
        </w:rPr>
        <w:t>Honigman LLP</w:t>
      </w:r>
    </w:p>
    <w:p>
      <w:pPr>
        <w:pStyle w:val="TextBody"/>
        <w:bidi w:val="0"/>
        <w:jc w:val="center"/>
        <w:rPr>
          <w:rFonts w:ascii="Times New Roman" w:hAnsi="Times New Roman"/>
          <w:b/>
          <w:color w:val="000000"/>
          <w:sz w:val="18"/>
        </w:rPr>
      </w:pPr>
      <w:r>
        <w:rPr>
          <w:rFonts w:ascii="Times New Roman" w:hAnsi="Times New Roman"/>
          <w:b/>
          <w:color w:val="000000"/>
          <w:sz w:val="18"/>
        </w:rPr>
        <w:t>660 Woodward Avenue, 2290 First National Building</w:t>
      </w:r>
    </w:p>
    <w:p>
      <w:pPr>
        <w:pStyle w:val="TextBody"/>
        <w:bidi w:val="0"/>
        <w:jc w:val="center"/>
        <w:rPr>
          <w:rFonts w:ascii="Times New Roman" w:hAnsi="Times New Roman"/>
          <w:b/>
          <w:color w:val="000000"/>
          <w:sz w:val="18"/>
        </w:rPr>
      </w:pPr>
      <w:r>
        <w:rPr>
          <w:rFonts w:ascii="Times New Roman" w:hAnsi="Times New Roman"/>
          <w:b/>
          <w:color w:val="000000"/>
          <w:sz w:val="18"/>
        </w:rPr>
        <w:t>Detroit, MI 48226</w:t>
      </w:r>
    </w:p>
    <w:p>
      <w:pPr>
        <w:pStyle w:val="TextBody"/>
        <w:bidi w:val="0"/>
        <w:spacing w:before="0" w:after="140"/>
        <w:jc w:val="center"/>
        <w:rPr>
          <w:rFonts w:ascii="Times New Roman" w:hAnsi="Times New Roman"/>
          <w:b/>
          <w:color w:val="000000"/>
          <w:sz w:val="18"/>
        </w:rPr>
      </w:pPr>
      <w:r>
        <w:rPr>
          <w:rFonts w:ascii="Times New Roman" w:hAnsi="Times New Roman"/>
          <w:b/>
          <w:color w:val="000000"/>
          <w:sz w:val="18"/>
        </w:rPr>
        <w:t>(313) 465-7000</w:t>
      </w:r>
    </w:p>
    <w:p>
      <w:pPr>
        <w:pStyle w:val="TextBody"/>
        <w:bidi w:val="0"/>
        <w:jc w:val="left"/>
        <w:rPr>
          <w:rFonts w:ascii="Times New Roman" w:hAnsi="Times New Roman"/>
          <w:sz w:val="20"/>
        </w:rPr>
      </w:pPr>
      <w:r>
        <w:rPr>
          <w:rFonts w:ascii="Times New Roman" w:hAnsi="Times New Roman"/>
          <w:b/>
          <w:color w:val="000000"/>
          <w:sz w:val="16"/>
        </w:rPr>
        <w:t xml:space="preserve">Approximate date of commencement of proposed sale to the public: </w:t>
      </w:r>
      <w:r>
        <w:rPr>
          <w:rFonts w:ascii="Times New Roman" w:hAnsi="Times New Roman"/>
          <w:color w:val="000000"/>
          <w:sz w:val="16"/>
        </w:rPr>
        <w:t>From time to time after the effective date of this registration statement, as determined by the selling stockholders.</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any of the securities being registered on this Form are to be offered on a delayed or continuous basis pursuant to Rule 415 under the Securities Act of 1933, check the following box.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60" w:after="6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127" w:type="dxa"/>
        <w:jc w:val="left"/>
        <w:tblInd w:w="0" w:type="dxa"/>
        <w:tblLayout w:type="fixed"/>
        <w:tblCellMar>
          <w:top w:w="28" w:type="dxa"/>
          <w:left w:w="28" w:type="dxa"/>
          <w:bottom w:w="28" w:type="dxa"/>
          <w:right w:w="28" w:type="dxa"/>
        </w:tblCellMar>
      </w:tblPr>
      <w:tblGrid>
        <w:gridCol w:w="1861"/>
        <w:gridCol w:w="2266"/>
      </w:tblGrid>
      <w:tr>
        <w:trPr/>
        <w:tc>
          <w:tcPr>
            <w:tcW w:w="18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Large accelerated filer ☐</w:t>
            </w:r>
          </w:p>
        </w:tc>
        <w:tc>
          <w:tcPr>
            <w:tcW w:w="22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Accelerated filer ☐</w:t>
            </w:r>
          </w:p>
        </w:tc>
      </w:tr>
      <w:tr>
        <w:trPr/>
        <w:tc>
          <w:tcPr>
            <w:tcW w:w="186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Non-accelerated filer ☒</w:t>
            </w:r>
          </w:p>
        </w:tc>
        <w:tc>
          <w:tcPr>
            <w:tcW w:w="22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Smaller reporting company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spacing w:before="6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pBdr>
          <w:top w:val="double" w:sz="2" w:space="1" w:color="000000"/>
        </w:pBdr>
        <w:bidi w:val="0"/>
        <w:jc w:val="left"/>
        <w:rPr/>
      </w:pPr>
      <w:r>
        <w:rPr/>
        <w:t> </w:t>
      </w:r>
    </w:p>
    <w:p>
      <w:pPr>
        <w:pStyle w:val="TextBody"/>
        <w:bidi w:val="0"/>
        <w:jc w:val="left"/>
        <w:rPr>
          <w:rFonts w:ascii="Times New Roman" w:hAnsi="Times New Roman"/>
          <w:b/>
          <w:color w:val="FF0000"/>
          <w:sz w:val="22"/>
        </w:rPr>
      </w:pPr>
      <w:r>
        <w:rPr>
          <w:rFonts w:ascii="Times New Roman" w:hAnsi="Times New Roman"/>
          <w:b/>
          <w:color w:val="FF0000"/>
          <w:sz w:val="22"/>
        </w:rPr>
        <w:t>The information in this prospectus is not complete and may be changed. The selling stockholders may not sell these securities until the registration statement filed with the U.S.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before="200" w:after="283"/>
        <w:jc w:val="center"/>
        <w:rPr>
          <w:rFonts w:ascii="Times New Roman" w:hAnsi="Times New Roman"/>
          <w:b/>
          <w:color w:val="FF0000"/>
          <w:sz w:val="22"/>
        </w:rPr>
      </w:pPr>
      <w:r>
        <w:rPr>
          <w:rFonts w:ascii="Times New Roman" w:hAnsi="Times New Roman"/>
          <w:b/>
          <w:color w:val="FF0000"/>
          <w:sz w:val="22"/>
        </w:rPr>
        <w:t>SUBJECT TO COMPLETION, DATED JULY 10, 2026</w:t>
      </w:r>
    </w:p>
    <w:p>
      <w:pPr>
        <w:pStyle w:val="TextBody"/>
        <w:bidi w:val="0"/>
        <w:spacing w:before="200" w:after="283"/>
        <w:jc w:val="both"/>
        <w:rPr>
          <w:rFonts w:ascii="Times New Roman" w:hAnsi="Times New Roman"/>
          <w:b/>
          <w:color w:val="000000"/>
          <w:sz w:val="22"/>
        </w:rPr>
      </w:pPr>
      <w:r>
        <w:rPr>
          <w:rFonts w:ascii="Times New Roman" w:hAnsi="Times New Roman"/>
          <w:b/>
          <w:color w:val="000000"/>
          <w:sz w:val="22"/>
        </w:rPr>
        <w:t>PRELIMINARY PROSPECTUS</w:t>
      </w:r>
    </w:p>
    <w:p>
      <w:pPr>
        <w:pStyle w:val="TextBody"/>
        <w:bidi w:val="0"/>
        <w:spacing w:before="120" w:after="283"/>
        <w:jc w:val="center"/>
        <w:rPr/>
      </w:pPr>
      <w:r>
        <w:rPr/>
        <w:drawing>
          <wp:inline distT="0" distB="0" distL="0" distR="0">
            <wp:extent cx="20383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723900"/>
                    </a:xfrm>
                    <a:prstGeom prst="rect">
                      <a:avLst/>
                    </a:prstGeom>
                  </pic:spPr>
                </pic:pic>
              </a:graphicData>
            </a:graphic>
          </wp:inline>
        </w:drawing>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DECOY THERAPEUTICS INC.</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Up to 3,766,500 Shares of Common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relates to the resale from time to time by the selling stockholders identified in this prospectus (the “selling stockholders”) of up to 3,766,500 shares of our common stock, par value $0.0001 per share (“common stock”), consisting of: (i) 592,217 shares of common stock issuable upon the exercise of pre-funded warrants (the “Pre-Funded Warrants”); (ii) 2,961,085 shares of common stock issuable upon the exercise of milestone-based Series A warrants in an amount of 592,217 shares, and Series B warrants in an amount of 1,184,434 shares and Series C warrants in an amount of 1,184,434 shares (collectively, the “Milestone Warrants”); and (iii) 213,198 shares of common stock issuable upon the exercise of warrants issued to the placement agent and its designees (the “Placement Agent Warrants” and, together with the Pre-Funded Warrants and the Milestone Warrants, the “Warrants”). We issued the Warrants in a private placement that closed on June 29, 2026, as described under “The Private Placement.”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not selling any securities under this prospectus and will not receive any of the proceeds from the resale of shares of common stock by the selling stockholders. We will, however, receive the proceeds of any cash exercise of the Warrants. See “Use of Proceeds.”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stockholders may sell or otherwise dispose of the shares of common stock described in this prospectus in a number of different ways and at varying prices. See “Plan of Distribution.” We have agreed to pay certain expenses in connection with the registration of the shares of common stock and to indemnify the selling stockholders against certain liabilities. See “Plan of Distribution.”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filing the registration statement on Form S-1 of which this prospectus forms a part to fulfill our contractual obligations to the selling stockholders to provide for the resale by the selling stockholders of the shares of common stock issuable upon exercise of the Warrants. See “Selling Stockholders” beginning on page 13 of this prospectus for more information about the selling stockholders. Our registration of the securities covered by this prospectus does not mean that either we or the selling stockholders will issue, offer or sell any of the shares of common stock.</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common stock is listed on The Nasdaq Capital Market (“Nasdaq”) under the symbol “DCOY.” On July 8, 2026, the last reported sale price of our common stock was $5.75 per share.</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a “smaller reporting company” under the federal securities laws and have elected to comply with certain reduced public company reporting requirements. See “Prospectus Summary — Implications of Being a Smaller Reporting Company.”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2"/>
        </w:rPr>
      </w:pPr>
      <w:r>
        <w:rPr>
          <w:rFonts w:ascii="Times New Roman" w:hAnsi="Times New Roman"/>
          <w:b/>
          <w:color w:val="000000"/>
          <w:sz w:val="22"/>
        </w:rPr>
        <w:t>Investing in our securities involves a high degree of risk. You should review carefully the risks and uncertainties described under the heading “Risk Factors” beginning on page 10 of this prospectus, and under similar headings in any amendment of or supplement to this prospectus or in any other documents that are incorporated by reference into this prospectus.</w:t>
      </w:r>
    </w:p>
    <w:p>
      <w:pPr>
        <w:pStyle w:val="TextBody"/>
        <w:bidi w:val="0"/>
        <w:spacing w:before="160" w:after="283"/>
        <w:jc w:val="left"/>
        <w:rPr>
          <w:rFonts w:ascii="Times New Roman" w:hAnsi="Times New Roman"/>
          <w:sz w:val="20"/>
        </w:rPr>
      </w:pPr>
      <w:r>
        <w:rPr>
          <w:rFonts w:ascii="Times New Roman" w:hAnsi="Times New Roman"/>
          <w:b/>
          <w:color w:val="000000"/>
          <w:sz w:val="22"/>
        </w:rPr>
        <w:t>NEITHER THE SEC NOR ANY STATE SECURITIES COMMISSION HAS APPROVED OR DISAPPROVED OF THESE SECURITIES OR PASSED UPON THE ADEQUACY OR ACCURACY OF THIS PROSPECTUS. ANY REPRESENTATION TO THE CONTRARY IS A CRIMINAL OFFENSE</w:t>
      </w:r>
      <w:r>
        <w:rPr>
          <w:rFonts w:ascii="Times New Roman" w:hAnsi="Times New Roman"/>
          <w:color w:val="000000"/>
          <w:sz w:val="22"/>
        </w:rPr>
        <w:t>.</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The date of this prospectus is ,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95"/>
        <w:gridCol w:w="109"/>
        <w:gridCol w:w="601"/>
      </w:tblGrid>
      <w:tr>
        <w:trPr/>
        <w:tc>
          <w:tcPr>
            <w:tcW w:w="9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4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Page</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about_this_prospectus">
              <w:r>
                <w:rPr>
                  <w:rStyle w:val="InternetLink"/>
                  <w:rFonts w:ascii="Times New Roman" w:hAnsi="Times New Roman"/>
                  <w:color w:val="0000FF"/>
                  <w:sz w:val="22"/>
                  <w:u w:val="single"/>
                </w:rPr>
                <w:t>About This Prospectus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prospectus_summary">
              <w:r>
                <w:rPr>
                  <w:rStyle w:val="InternetLink"/>
                  <w:rFonts w:ascii="Times New Roman" w:hAnsi="Times New Roman"/>
                  <w:color w:val="0000FF"/>
                  <w:sz w:val="22"/>
                  <w:u w:val="single"/>
                </w:rPr>
                <w:t>Prospectus Summary</w:t>
              </w:r>
            </w:hyperlink>
            <w:hyperlink w:anchor="prospectus_summary">
              <w:r>
                <w:rPr>
                  <w:rStyle w:val="InternetLink"/>
                  <w:rFonts w:ascii="Times New Roman" w:hAnsi="Times New Roman"/>
                  <w:color w:val="0000FF"/>
                  <w:sz w:val="22"/>
                </w:rPr>
                <w:t xml:space="preserve"> </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the_offering">
              <w:r>
                <w:rPr>
                  <w:rStyle w:val="InternetLink"/>
                  <w:rFonts w:ascii="Times New Roman" w:hAnsi="Times New Roman"/>
                  <w:color w:val="0000FF"/>
                  <w:sz w:val="22"/>
                  <w:u w:val="single"/>
                </w:rPr>
                <w:t>The Offering</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4</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risk_factors">
              <w:r>
                <w:rPr>
                  <w:rStyle w:val="InternetLink"/>
                  <w:rFonts w:ascii="Times New Roman" w:hAnsi="Times New Roman"/>
                  <w:color w:val="0000FF"/>
                  <w:sz w:val="22"/>
                  <w:u w:val="single"/>
                </w:rPr>
                <w:t>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6</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cautionary_note_regarding_forwardlooking">
              <w:r>
                <w:rPr>
                  <w:rStyle w:val="InternetLink"/>
                  <w:rFonts w:ascii="Times New Roman" w:hAnsi="Times New Roman"/>
                  <w:color w:val="0000FF"/>
                  <w:sz w:val="22"/>
                  <w:u w:val="single"/>
                </w:rPr>
                <w:t>Cautionary Note Regarding Forward-Looking Statements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8</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use_of_proceeds">
              <w:r>
                <w:rPr>
                  <w:rStyle w:val="InternetLink"/>
                  <w:rFonts w:ascii="Times New Roman" w:hAnsi="Times New Roman"/>
                  <w:color w:val="0000FF"/>
                  <w:sz w:val="22"/>
                  <w:u w:val="single"/>
                </w:rPr>
                <w:t>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9</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market_information_determination">
              <w:r>
                <w:rPr>
                  <w:rStyle w:val="InternetLink"/>
                  <w:rFonts w:ascii="Times New Roman" w:hAnsi="Times New Roman"/>
                  <w:color w:val="0000FF"/>
                  <w:sz w:val="22"/>
                  <w:u w:val="single"/>
                </w:rPr>
                <w:t>Market Information, Determination of Offering Price and Dividend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10</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the_private_placement">
              <w:r>
                <w:rPr>
                  <w:rStyle w:val="InternetLink"/>
                  <w:rFonts w:ascii="Times New Roman" w:hAnsi="Times New Roman"/>
                  <w:color w:val="0000FF"/>
                  <w:sz w:val="22"/>
                  <w:u w:val="single"/>
                </w:rPr>
                <w:t>The Private Placement</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11</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selling_stockholders">
              <w:r>
                <w:rPr>
                  <w:rStyle w:val="InternetLink"/>
                  <w:rFonts w:ascii="Times New Roman" w:hAnsi="Times New Roman"/>
                  <w:color w:val="0000FF"/>
                  <w:sz w:val="22"/>
                  <w:u w:val="single"/>
                </w:rPr>
                <w:t>Selling Stockholders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13</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plan_of_distribution">
              <w:r>
                <w:rPr>
                  <w:rStyle w:val="InternetLink"/>
                  <w:rFonts w:ascii="Times New Roman" w:hAnsi="Times New Roman"/>
                  <w:color w:val="0000FF"/>
                  <w:sz w:val="22"/>
                  <w:u w:val="single"/>
                </w:rPr>
                <w:t>Plan of Distribution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16</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mda">
              <w:r>
                <w:rPr>
                  <w:rStyle w:val="InternetLink"/>
                  <w:rFonts w:ascii="Times New Roman" w:hAnsi="Times New Roman"/>
                  <w:color w:val="0000FF"/>
                  <w:sz w:val="22"/>
                  <w:u w:val="single"/>
                </w:rPr>
                <w:t>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18</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business">
              <w:r>
                <w:rPr>
                  <w:rStyle w:val="InternetLink"/>
                  <w:rFonts w:ascii="Times New Roman" w:hAnsi="Times New Roman"/>
                  <w:color w:val="0000FF"/>
                  <w:sz w:val="22"/>
                  <w:u w:val="single"/>
                </w:rPr>
                <w:t>Business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18</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description_of_capital_stock">
              <w:r>
                <w:rPr>
                  <w:rStyle w:val="InternetLink"/>
                  <w:rFonts w:ascii="Times New Roman" w:hAnsi="Times New Roman"/>
                  <w:color w:val="0000FF"/>
                  <w:sz w:val="22"/>
                  <w:u w:val="single"/>
                </w:rPr>
                <w:t>Description of Capital Stock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18</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directors_executive_officers">
              <w:r>
                <w:rPr>
                  <w:rStyle w:val="InternetLink"/>
                  <w:rFonts w:ascii="Times New Roman" w:hAnsi="Times New Roman"/>
                  <w:color w:val="0000FF"/>
                  <w:sz w:val="22"/>
                  <w:u w:val="single"/>
                </w:rPr>
                <w:t>Directors, Executive Officers, and Corporate Governance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18</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executive_compensation">
              <w:r>
                <w:rPr>
                  <w:rStyle w:val="InternetLink"/>
                  <w:rFonts w:ascii="Times New Roman" w:hAnsi="Times New Roman"/>
                  <w:color w:val="0000FF"/>
                  <w:sz w:val="22"/>
                  <w:u w:val="single"/>
                </w:rPr>
                <w:t>Executive Compensation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18</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security_ownership_of_certain_beneficial">
              <w:r>
                <w:rPr>
                  <w:rStyle w:val="InternetLink"/>
                  <w:rFonts w:ascii="Times New Roman" w:hAnsi="Times New Roman"/>
                  <w:color w:val="0000FF"/>
                  <w:sz w:val="22"/>
                  <w:u w:val="single"/>
                </w:rPr>
                <w:t>Security Ownership of Certain Beneficial Owners and Management and Related Stockholder Matters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19</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certain_relationships_and_related_trans">
              <w:r>
                <w:rPr>
                  <w:rStyle w:val="InternetLink"/>
                  <w:rFonts w:ascii="Times New Roman" w:hAnsi="Times New Roman"/>
                  <w:color w:val="0000FF"/>
                  <w:sz w:val="22"/>
                  <w:u w:val="single"/>
                </w:rPr>
                <w:t>Certain Relationships and Related Transactions and Director Independence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19</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legal_matters">
              <w:r>
                <w:rPr>
                  <w:rStyle w:val="InternetLink"/>
                  <w:rFonts w:ascii="Times New Roman" w:hAnsi="Times New Roman"/>
                  <w:color w:val="0000FF"/>
                  <w:sz w:val="22"/>
                  <w:u w:val="single"/>
                </w:rPr>
                <w:t>Legal Matters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19</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experts">
              <w:r>
                <w:rPr>
                  <w:rStyle w:val="InternetLink"/>
                  <w:rFonts w:ascii="Times New Roman" w:hAnsi="Times New Roman"/>
                  <w:color w:val="0000FF"/>
                  <w:sz w:val="22"/>
                  <w:u w:val="single"/>
                </w:rPr>
                <w:t>Experts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19</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where_you_can_find_more_information">
              <w:r>
                <w:rPr>
                  <w:rStyle w:val="InternetLink"/>
                  <w:rFonts w:ascii="Times New Roman" w:hAnsi="Times New Roman"/>
                  <w:color w:val="0000FF"/>
                  <w:sz w:val="22"/>
                  <w:u w:val="single"/>
                </w:rPr>
                <w:t>Where You Can Find More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19</w:t>
            </w:r>
          </w:p>
        </w:tc>
      </w:tr>
      <w:tr>
        <w:trPr/>
        <w:tc>
          <w:tcPr>
            <w:tcW w:w="9495" w:type="dxa"/>
            <w:tcBorders/>
            <w:tcMar>
              <w:top w:w="0" w:type="dxa"/>
              <w:left w:w="0" w:type="dxa"/>
              <w:bottom w:w="0" w:type="dxa"/>
              <w:right w:w="0" w:type="dxa"/>
            </w:tcMar>
            <w:vAlign w:val="center"/>
          </w:tcPr>
          <w:p>
            <w:pPr>
              <w:pStyle w:val="TableContents"/>
              <w:bidi w:val="0"/>
              <w:spacing w:before="40" w:after="40"/>
              <w:jc w:val="left"/>
              <w:rPr/>
            </w:pPr>
            <w:hyperlink w:anchor="incorporation_of_certain_information">
              <w:r>
                <w:rPr>
                  <w:rStyle w:val="InternetLink"/>
                  <w:rFonts w:ascii="Times New Roman" w:hAnsi="Times New Roman"/>
                  <w:color w:val="0000FF"/>
                  <w:sz w:val="22"/>
                  <w:u w:val="single"/>
                </w:rPr>
                <w:t>Incorporation of Certain Information by Reference</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40" w:after="40"/>
              <w:jc w:val="right"/>
              <w:rPr>
                <w:rFonts w:ascii="Times New Roman" w:hAnsi="Times New Roman"/>
                <w:color w:val="000000"/>
                <w:sz w:val="22"/>
              </w:rPr>
            </w:pPr>
            <w:r>
              <w:rPr>
                <w:rFonts w:ascii="Times New Roman" w:hAnsi="Times New Roman"/>
                <w:color w:val="000000"/>
                <w:sz w:val="22"/>
              </w:rPr>
              <w:t>20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 w:name="about_this_prospectus"/>
      <w:bookmarkEnd w:id="2"/>
      <w:r>
        <w:rPr>
          <w:rFonts w:ascii="Times New Roman" w:hAnsi="Times New Roman"/>
          <w:color w:val="000000"/>
          <w:sz w:val="22"/>
        </w:rPr>
        <w:t>ABOUT THIS PROSPECTUS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is part of a registration statement on Form S-1 that we have filed with the Securities and Exchange Commission (the “SEC”), and includes exhibits that provide more detail of the matters discussed in this prospectus. You should read this prospectus, the related exhibits filed with the SEC, and the documents incorporated by reference herein before making your investment decision. You should rely only on the information provided in this prospectus and the documents incorporated by reference herein or any amendment thereto.</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You should not assume that the information contained in this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is delivered, or securities are sold, on a later date. 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Neither we nor the selling stockholders have authorized anyone to provide you with different or additional information. If anyone provides you with different or inconsistent information, you should not rely on it. Neither we nor the selling stockholders are making an offer to sell these securities in any jurisdiction where the offer or sale is not permitted. You should assume that the information appearing in this prospectus and the documents incorporated by reference herein is accurate only as of their respective dates.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Unless the context otherwise requires, references in this prospectus to the “Company,” “we,” “us,” “our,” “Decoy” and similar references refer to Decoy Therapeutics Inc. and, where appropriate, its consolidated subsidiaries. References to “Legacy Decoy” refer to Decoy Therapeutics Inc. as it existed prior to the Merger described herein, and references to “Salarius” refer to the Company when it was known as Salarius Pharmaceuticals, Inc. prior to the name change described herein.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On August 15, 2025, we filed a certificate of amendment to our amended and restated certificate of incorporation, as amended, to effect a 1-for-15 reverse stock split of our issued and outstanding common stock, which became effective on August 15, 2025 (with our common stock trading on a split-adjusted basis beginning on August 18, 2025). On March 5, 2026, we filed a certificate of amendment to our amended and restated certificate of incorporation, as amended, to effect a 1-for-12 reverse stock split of our issued and outstanding common stock, which became effective on March 6, 2026 (together with the foregoing and the 1-for-8 reverse stock split effected on June 14, 2024, the “Reverse Stock Splits”). Unless otherwise indicated, all share and per share amounts in this prospectus have been adjusted to give retroactive effect to the Reverse Stock Splits.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3" w:name="prospectus_summary"/>
      <w:bookmarkEnd w:id="3"/>
      <w:r>
        <w:rPr>
          <w:rFonts w:ascii="Times New Roman" w:hAnsi="Times New Roman"/>
          <w:color w:val="000000"/>
          <w:sz w:val="22"/>
        </w:rPr>
        <w:t>PROSPECTUS SUMMARY</w:t>
      </w:r>
    </w:p>
    <w:p>
      <w:pPr>
        <w:pStyle w:val="TextBody"/>
        <w:bidi w:val="0"/>
        <w:spacing w:before="200" w:after="283"/>
        <w:jc w:val="left"/>
        <w:rPr>
          <w:rFonts w:ascii="Times New Roman" w:hAnsi="Times New Roman"/>
          <w:i/>
          <w:color w:val="000000"/>
          <w:sz w:val="22"/>
        </w:rPr>
      </w:pPr>
      <w:r>
        <w:rPr>
          <w:rFonts w:ascii="Times New Roman" w:hAnsi="Times New Roman"/>
          <w:i/>
          <w:color w:val="000000"/>
          <w:sz w:val="22"/>
        </w:rPr>
        <w:t>This summary highlights selected information appearing elsewhere in, or incorporated by reference into, this prospectus. This summary is not complete and does not contain all of the information that you should consider before investing in our common stock. You should carefully read this entire prospectus, including the information under “Risk Factors” and the financial statements and related notes and other information that we incorporate by reference herein, including our Annual Report on Form 10-K for the fiscal year ended December 31, 2025 and our Quarterly Report on Form 10-Q for the quarter ended March 31, 2026, before making an investment decision.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Overview</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are a pre-clinical stage biotechnology company focused on advancing our pipeline of peptide conjugate therapeutics engineered through our proprietary IMP3ACT platform. Our IMP3ACT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Utilizing our novel IMP3ACT platform, we aim to build a robust portfolio of novel peptide conjugate therapeutics, initially focusing on infectious diseases and oncology. The Decoy IMP³ACT platform is generating a pipeline of Designable Multi-Antivirals (“D-MAV”) candidates across respiratory viruses, and our portfolio also includes two legacy small molecule clinical candidates: SP-3164, a targeted protein degrader, and seclidemstat (“SP-2577”), a targeted protein inhibitor. We have no products approved for commercial sale and have not generated any revenue from product sales.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Merger and Name Change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Prior to January 8, 2026, we were known as Salarius Pharmaceuticals, Inc. On November 12, 2025, pursuant to an Agreement and Plan of Merger dated January 10, 2025, as amended (the “Merger Agreement”), a wholly owned subsidiary of Salarius merged with and into Legacy Decoy, with Legacy Decoy surviving and becoming a wholly owned subsidiary of the Company (the “Merger”). In connection with the Merger, we issued 877.709 shares of Series A Non-Voting Convertible Preferred Stock (the “Series A Preferred Stock”) and 796.306 shares of Series B Non-Voting Convertible Preferred Stock (the “Series B Preferred Stock”) to former Legacy Decoy stockholders and debtholders. The shares of Series A Preferred Stock and Series B Preferred Stock are not convertible into common stock until our stockholders approve such conversion in accordance with Nasdaq Rule 5635 and we satisfy the Nasdaq initial listing requirements applicable to the combined company. On January 8, 2026, we filed a certificate of amendment to change our corporate name to “Decoy Therapeutics Inc.,” and our common stock, which had traded under the symbol “SLRX,” began trading under the symbol “DCOY.”</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Private Placement</w:t>
      </w:r>
    </w:p>
    <w:p>
      <w:pPr>
        <w:pStyle w:val="TextBody"/>
        <w:bidi w:val="0"/>
        <w:spacing w:before="200" w:after="283"/>
        <w:jc w:val="left"/>
        <w:rPr>
          <w:rFonts w:ascii="Times New Roman" w:hAnsi="Times New Roman"/>
          <w:sz w:val="20"/>
        </w:rPr>
      </w:pPr>
      <w:r>
        <w:rPr>
          <w:rFonts w:ascii="Times New Roman" w:hAnsi="Times New Roman"/>
          <w:color w:val="000000"/>
          <w:sz w:val="22"/>
        </w:rPr>
        <w:t>On June 26, 2026, we entered into a securities purchase agreement (the “Securities Purchase Agreement”) with a single healthcare-focused institutional and accredited investor (the “Purchaser”) for a private investment in public equity financing (the “Private Placement”), which closed on June 29, 2026 and resulted in approximately $3.5 million in upfront gross proceeds to us, before deducting placement agent fees and other offering expenses. At the closing, the Purchaser elected to purchase Pre-Funded Warrants in lieu of shares of common stock, and we issued Pre-Funded Warrants to purchase 592,217 shares of common stock, together with accompanying Milestone Warrants to purchase up to an aggregate of 2,961,085 shares of common stock. Curvature Securities, LLC acted as the sole placement agent for the Private Placement, and we issued Placement Agent Warrants to purchase an aggregate of 213,198 shares of common stock to Curvature Securities, LLC and its designee. We agreed to register the resale of the</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shares of common stock issuable upon exercise of the Warrants, and the registration statement of which this prospectus forms a part is being filed in part to satisfy that obligation. See “The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Corporate Information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were incorporated in Delaware in February 2014 as Flex Pharma, Inc. In July 2019, our predecessor merged with Salarius Pharmaceuticals, LLC and we changed our name to Salarius Pharmaceuticals, Inc., and effective January 8, 2026, we changed our name to Decoy Therapeutics Inc. Our principal executive offices are located at 2450 Holcombe Blvd., Suite X, Houston, TX 77021, and our telephone number is (713) 913-5608. Our website address is www.decoytx.com. Information on, or accessible through, our website is not part of this prospectus.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Implications of Being a Smaller Reporting Company</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are a “smaller reporting company” as defined in Rule 12b-2 under the Securities Exchange Act of 1934, as amended (the “Exchange Act”). We may take advantage of certain scaled disclosure requirements available to smaller reporting companies, including presenting only two years of audited financial statements and reduced executive compensation disclosure. We will remain a smaller reporting company until the last day of the fiscal year in which (i) the market value of our common stock held by non-affiliates is $250 million or more measured as of the last business day of our most recently completed second fiscal quarter, or (ii) our annual revenue is $100 million or more during the most recently completed fiscal year and the market value of our common stock held by non-affiliates is $700 million or more measured as of the last business day of our most recently completed second fiscal quarter.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4" w:name="the_offering"/>
      <w:bookmarkEnd w:id="4"/>
      <w:r>
        <w:rPr>
          <w:rFonts w:ascii="Times New Roman" w:hAnsi="Times New Roman"/>
          <w:color w:val="000000"/>
          <w:sz w:val="22"/>
        </w:rPr>
        <w:t>THE OFFERING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6"/>
        <w:gridCol w:w="8319"/>
      </w:tblGrid>
      <w:tr>
        <w:trPr/>
        <w:tc>
          <w:tcPr>
            <w:tcW w:w="1886" w:type="dxa"/>
            <w:tcBorders/>
            <w:vAlign w:val="center"/>
          </w:tcPr>
          <w:p>
            <w:pPr>
              <w:pStyle w:val="TableContents"/>
              <w:bidi w:val="0"/>
              <w:spacing w:before="0" w:after="283"/>
              <w:jc w:val="left"/>
              <w:rPr>
                <w:sz w:val="4"/>
                <w:szCs w:val="4"/>
              </w:rPr>
            </w:pPr>
            <w:r>
              <w:rPr>
                <w:sz w:val="4"/>
                <w:szCs w:val="4"/>
              </w:rPr>
            </w:r>
          </w:p>
        </w:tc>
        <w:tc>
          <w:tcPr>
            <w:tcW w:w="8319" w:type="dxa"/>
            <w:tcBorders/>
            <w:vAlign w:val="center"/>
          </w:tcPr>
          <w:p>
            <w:pPr>
              <w:pStyle w:val="TableContents"/>
              <w:bidi w:val="0"/>
              <w:spacing w:before="0" w:after="283"/>
              <w:jc w:val="left"/>
              <w:rPr>
                <w:sz w:val="4"/>
                <w:szCs w:val="4"/>
              </w:rPr>
            </w:pPr>
            <w:r>
              <w:rPr>
                <w:sz w:val="4"/>
                <w:szCs w:val="4"/>
              </w:rPr>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Common stock offered by the selling stockholders</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Up to 3,766,500 shares of common stock, consisting of (i) 592,217 shares issuable upon exercise of the Pre-Funded Warrants, (ii) 2,961,085 shares issuable upon exercise of the Milestone Warrants and (iii) 213,198 shares issuable upon exercise of the Placement Agent Warrants.</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Common stock outstanding prior to this offering</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531,968 shares of common stock outstanding as of June 9, 2026.</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Common stock outstanding after this offering</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Up to 4,298,468 shares of common stock, assuming the exercise in full of all of the Warrants and the issuance and resale of all 3,766,500 shares offered hereby.</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Use of proceeds</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We will not receive any proceeds from the resale of shares by the selling stockholders. We will receive the proceeds of any cash exercise of the Warrants, which we intend to use, for working capital and general corporate purposes. See “Use of Proceeds.”</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Terms of the Pre-Funded Warrants</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Each Pre-Funded Warrant has an exercise price of $0.0001 per share, is immediately exercisable and may be exercised at any time until exercised in full, subject to the beneficial ownership limitation described below. See “The Private Placement.”</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Terms of the Milestone Warrants</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Milestone Warrants become exercisable only upon the receipt of stockholder approval of the issuance of the underlying shares under applicable Nasdaq rules and expire on the on the earlier of (i) the 90th day following the occurrence of the applicable milestone event and (ii) June 26, 2031. There can be no assurance that any Milestone Warrant will become exercisable. See “The Private Placement” and “Risk Factors.”</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Terms of the Placement Agent Warrants</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Placement Agent Warrants have an exercise price of $7.3875 per share, become exercisable six months after the date of issuance and expire on June 26, 2031, subject to the beneficial ownership limitation described below. See “The Private Placement.”</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Beneficial ownership limitation</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The Pre-Funded Warrants may not be exercised to the extent that, after giving effect to the exercise, the holder, together with its affiliates and attribution parties, would beneficially own more than 9.99% of our outstanding common stock. The Milestone Warrants and the Placement Agent Warrants are subject to a corresponding limitation of 4.99% or 9.99%, as applicable, which the holder may adjust upon 61 days’ prior notice to us, subject to the maximum percentage set forth in the applicable Warrant.</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Risk factors</w:t>
            </w:r>
          </w:p>
        </w:tc>
        <w:tc>
          <w:tcPr>
            <w:tcW w:w="8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Investing in our common stock involves a high degree of risk. See “Risk Factors” beginning on page 10.</w:t>
            </w:r>
          </w:p>
        </w:tc>
      </w:tr>
      <w:tr>
        <w:trPr/>
        <w:tc>
          <w:tcPr>
            <w:tcW w:w="1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Nasdaq Capital Market symbol</w:t>
            </w:r>
          </w:p>
        </w:tc>
        <w:tc>
          <w:tcPr>
            <w:tcW w:w="831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2"/>
              </w:rPr>
              <w:t>DCOY”</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number of shares of common stock to be outstanding after this offering is based on 531,968 shares of common stock outstanding as of June 9, 2026, and excludes 390,604 shares issuable upon conversion of our outstanding Series A Preferred Stock and Series B Preferred Stock (which conversion remains subject to stockholder approval under Nasdaq Listing Rule 5635 and satisfaction of the applicable Nasdaq initial listing requirements), and shares of common stock issuable upon the exercise of our other outstanding warrants and options.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Except as otherwise indicated, the number of shares of our common stock to be outstanding after this offering is based on 531,968 shares of common stock outstanding as of June 9, 2026, and does not give effect to the conversion of our outstanding Series A Non-Voting Convertible Preferred Stock or Series B Non-Voting Convertible Preferred Stock, which are not convertible into common stock unless and until our stockholders approve such conversion in accordance with Nasdaq Listing Rule 5635 and the Company satisfies the applicable Nasdaq initial listing requirements. As of June 9, 2026, the issued and reserved shares of Series A Preferred Stock and Series B Preferred Stock would, upon such approval, be convertible into an aggregate of 390,604 shares of common stock. The number of shares of common stock to be outstanding after this offering excludes: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390,604 shares of common stock issuable upon conversion of our outstanding Series A Preferred Stock and Series B Preferred Stock issued, which conversion remains subject to stockholder approval under Nasdaq Listing Rule 5635 and satisfaction of the applicable Nasdaq initial listing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932,991 shares of common stock issuable upon the exercise of warrants outstanding as of March 31, 2026 (which do not include the Warrants issued in the Private Placement), at a weighted-average exercise price of $26.06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13,723 shares of common stock issuable upon the exercise of stock options outstanding under our equity incentive plans as of March 31, 2026, at a weighted-average exercise price of $480.70 per share;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91,667 shares of common stock reserved for future issuance under our 2026 Equity Incentive Plan.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Except as otherwise noted, the share figures above are presented as of the dates indicated and after giving effect to the 1-for-12 reverse stock split effected on March 6, 2026. Unless otherwise indicated, this prospectus assumes no conversion of the preferred stock and no exercise of outstanding warrants or options.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5" w:name="risk_factors"/>
      <w:bookmarkEnd w:id="5"/>
      <w:r>
        <w:rPr>
          <w:rFonts w:ascii="Times New Roman" w:hAnsi="Times New Roman"/>
          <w:color w:val="000000"/>
          <w:sz w:val="22"/>
        </w:rPr>
        <w:t>RISK FACTORS</w:t>
      </w:r>
    </w:p>
    <w:p>
      <w:pPr>
        <w:pStyle w:val="TextBody"/>
        <w:bidi w:val="0"/>
        <w:spacing w:before="200" w:after="283"/>
        <w:jc w:val="left"/>
        <w:rPr>
          <w:rFonts w:ascii="Times New Roman" w:hAnsi="Times New Roman"/>
          <w:i/>
          <w:color w:val="000000"/>
          <w:sz w:val="22"/>
        </w:rPr>
      </w:pPr>
      <w:r>
        <w:rPr>
          <w:rFonts w:ascii="Times New Roman" w:hAnsi="Times New Roman"/>
          <w:i/>
          <w:color w:val="000000"/>
          <w:sz w:val="22"/>
        </w:rPr>
        <w:t>Investing in our common stock involves a high degree of risk. Before making an investment decision, you should carefully consider the risks described below, together with the risk factors described in our Annual Report on Form 10-K for the fiscal year ended December 31, 2025, and our Quarterly Report on Form 10-Q for the quarter ended March 31, 2026, each of which is incorporated by reference herein, as well as the other information contained in or incorporated by reference into this prospectus. The risk factors set forth below are limited to those arising primarily from this offering and the Private Placement and supplement, and should be read together with, the risk factors incorporated by reference herein; they do not purport to be a complete statement of all risks relevant to an investment in our common stock. If any of these risks actually occur, our business, financial condition, results of operations and prospects could be materially and adversely affected, the trading price of our common stock could decline, and you could lose all or part of your investment.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Our Liquidity and Capital Needs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Our financial condition raises substantial doubt about our ability to continue as a going concern.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incurred recurring losses from operations since inception and have not generated any revenue from product sales. Our independent registered public accounting firm and management have concluded that there is substantial doubt about our ability to continue as a going concern, and the report of our independent registered public accounting firm on our consolidated financial statements for the year ended December 31, 2025 includes an explanatory paragraph to that effect. We believe our existing cash and cash equivalents will be sufficient to fund our operations only into late 2026. If we are unable to obtain additional capital in the near term, we may be forced to delay, reduce or eliminate some or all of our development programs, or cease operations, in which case you could lose all or part of your investment.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cash proceeds we may receive upon exercise of the Warrants are uncertain and may never be realized.</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will not receive any proceeds from the resale of the shares of common stock by the selling stockholders. We may receive proceeds from the cash exercise of the Warrants, but the Pre-Funded Warrants, the Milestone Warrants and the Placement Agent Warrants may be exercised on a cashless basis in the circumstances specified in the applicable Warrant, in which case we would receive no cash proceeds, and the Milestone Warrants may never become exercisable. Accordingly, the amount of cash, if any, ultimately available to fund our operations from exercises of the Warrants is uncertain.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This Offering and 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The number of shares being registered for resale is significant in relation to our outstanding common stock, and resales may cause the market price of our common stock to decline.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covers the resale of up to 3,766,500 shares of common stock, which substantially exceeds the 531,968 shares of common stock outstanding as of June 9, 2026. The resale of all or a substantial portion of these shares in the public market, or the perception that these resales may occur, could cause the market price of our common stock to decline significantly and could impair our ability to raise capital through the sale of additional equity securities.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We are required to obtain stockholder approval before the Milestone Warrants may be exercised, and we may be unable to obtain that approval.</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Under applicable Nasdaq listing rules, we are required to obtain stockholder approval before the shares of common stock issuable upon exercise of the Milestone Warrants may be issued. If our stockholders do not approve the issuance, the Milestone Warrants will not become exercisable, and we may be required to call additional stockholder meetings, resulting in additional expense and management attention.</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Future resales or issuances of our common stock, or the perception that such sales may occur, may cause the market price of our common stock to decline.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addition to the shares offered hereby, we have a significant number of shares of common stock issuable upon the conversion of our outstanding Series A Preferred Stock and Series B Preferred Stock (subject to stockholder approval) and upon the exercise of other outstanding warrants and options. The issuance and subsequent resale of these shares, or the perception that such sales may occur, could depress the market price of our common stock and impair our ability to raise capital.</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Risks Related to Nasdaq Listing</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Our common stock may be delisted from Nasdaq, which would adversely affect the liquidity and market price of our common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a history of non-compliance with Nasdaq continued listing requirements, including the minimum bid price requirement and the stockholders’ equity requirement, and we remain subject to a mandatory panel monitor through March 31, 2027 (the “Mandatory Panel Monitor”). If we again fail to comply with Nasdaq’s continued listing requirements, Nasdaq may take expedited delisting action, and our common stock could be delisted, which would adversely affect the liquidity and market price of our common stock and our ability to raise capital.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6" w:name="cautionary_note_regarding_forwardlooking"/>
      <w:bookmarkEnd w:id="6"/>
      <w:r>
        <w:rPr>
          <w:rFonts w:ascii="Times New Roman" w:hAnsi="Times New Roman"/>
          <w:color w:val="000000"/>
          <w:sz w:val="22"/>
        </w:rPr>
        <w:t>CAUTIONARY NOTE REGARDING FORWARD-LOOKING STATEMENTS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and the documents incorporated by reference herein contain forward-looking statements within the meaning of Section 27A of the Securities Act and Section 21E of the Exchange Act. All statements other than statements of historical fact are forward-looking statements. In some cases, you can identify forward-looking statements by terms such as “may,” “will,” “could,” “would,” “should,” “expect,” “intend,” “plan,” “anticipate,” “believe,” “estimate,” “predict,” “potential,” “continue,” “seek,” “target” or the negative of these terms or other comparable terminology. These forward-looking statements include, among others,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continue as a going concern and to support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expectations regarding the timing, likelihood and expected benefits of, and the potential value created by, the recently completed Merger with Legacy Decoy, and the execution of our related integration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maintain the listing of our common stock on Nasdaq, including specifically our ability to continue to comply with the minimum $2.5 million stockholders’ equity requirement and the conditions of the Mandatory Panel Monitor, and the effect of any noncompliance on the liquidity and trading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whether and when the milestone events applicable to the Milestone Warrants will be achieved, and whether we will obtain the stockholder approval required for the Milestone Warrants to become exercisable;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successfully manage our cash and cash equivalents and any anticipated proceeds from financing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acquire sufficient sources of funding if and when needed, and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plans, strategies and objectives of management for future operations, including the execution of our integration plans and the anticipated timing of filings and of the commencement of preclinical studies or clinical trials of our current and future product candidates, including the timing of our planned regulatory communications, submissions and approvals and the release of data from such studies or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financial performance, and our estimates and expectations as to expenses, ongoing losses, future revenue, cash flow, capital requirements and our need for, or ability to obtain, additional funding before we can expect to generate any revenue from product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belief regarding the sufficiency of our cash resources, and our liquidity position and the expected sufficiency of that position for our anticipated operating and capital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plans to develop and commercialize our product candidates, including planned preclinical, clinical, regulatory, commercialization and manufacturing activities, and our expectations regarding the scope of any approved indication for any product candidate,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use of artificial intelligence and machine learning to identify and develop current and future product candidates, and the risks associated with the use of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attraction and retention of highly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ability to protect and enhance our products and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developments and projections relating to our competitors and our industry, and future regulatory, judicial and legislative changes affecting our industry;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relationships and actions with third parties;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our anticipated use of the net proceeds, if any, that we may receive upon the exercise of the Warrants.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forward-looking statements in this prospectus and the documents incorporated by reference herein are subject to known and unknown risks, uncertainties and assumptions, including those described under “Risk Factors” in this prospectus and the risks set forth under Item 1A of our Annual Report on Form 10-K for the fiscal year ended December 31, 2025, as supplemented by Part II, Item 1A of our Quarterly Report on Form 10-Q for the quarter ended March 31, 2026, each of which is incorporated by reference herein, and the other documents incorporated by reference herein, that could cause our actual results to differ materially from those expressed or implied by these forward-looking statements. These forward-looking statements speak only as of the date of this prospectus or, in the case of forward-looking statements contained in any document incorporated by reference herein, as of the date of that document. Except as required by law, we undertake no obligation to update or revise publicly any forward-looking statement, whether as a result of new information, future events or otherwise.</w:t>
      </w:r>
    </w:p>
    <w:p>
      <w:pPr>
        <w:pStyle w:val="Heading1"/>
        <w:bidi w:val="0"/>
        <w:spacing w:before="200" w:after="283"/>
        <w:jc w:val="center"/>
        <w:rPr>
          <w:rFonts w:ascii="Times New Roman" w:hAnsi="Times New Roman"/>
          <w:color w:val="000000"/>
          <w:sz w:val="22"/>
        </w:rPr>
      </w:pPr>
      <w:bookmarkStart w:id="7" w:name="use_of_proceeds"/>
      <w:bookmarkEnd w:id="7"/>
      <w:r>
        <w:rPr>
          <w:rFonts w:ascii="Times New Roman" w:hAnsi="Times New Roman"/>
          <w:color w:val="000000"/>
          <w:sz w:val="22"/>
        </w:rPr>
        <w:t>USE OF PROCEEDS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This prospectus relates to the resale of shares of our common stock that may be offered and sold from time to time by the selling stockholders. We will not receive any proceeds from the resale of shares of common stock by the selling stockholders.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will receive proceeds from any exercise of the Warrants for cash. If all of the Warrants were exercised for cash in full, we would receive aggregate gross proceeds of approximately $19.1 million, consisting of approximately $59 from the exercise of the Pre-Funded Warrants (at an exercise price of $0.0001 per share), approximately $17.5 million from the exercise of the Milestone Warrants (at an exercise price of $5.91 per share) and approximately $1.6 million from the exercise of the Placement Agent Warrants (at an exercise price of $7.3875 per share). We cannot predict when or whether any Warrants will be exercised, and the Warrants may be exercised on a cashless basis under the circumstances specified in the applicable Warrant, in which case we would not receive any cash proceeds upon exercise. The Milestone Warrants may never become exercisable. We intend to use any net proceeds we receive from the cash exercise of the Warrants for working capital and general corporate purposes.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z w:val="20"/>
        </w:rPr>
      </w:pPr>
      <w:bookmarkStart w:id="8" w:name="market_information_determination"/>
      <w:bookmarkEnd w:id="8"/>
      <w:r>
        <w:rPr>
          <w:rFonts w:ascii="Times New Roman" w:hAnsi="Times New Roman"/>
          <w:color w:val="000000"/>
          <w:sz w:val="22"/>
        </w:rPr>
        <w:t xml:space="preserve">MARKET </w:t>
      </w:r>
      <w:r>
        <w:rPr>
          <w:rFonts w:ascii="Times New Roman" w:hAnsi="Times New Roman"/>
          <w:caps/>
          <w:color w:val="000000"/>
          <w:sz w:val="22"/>
        </w:rPr>
        <w:t>Information</w:t>
      </w:r>
      <w:r>
        <w:rPr>
          <w:rFonts w:ascii="Times New Roman" w:hAnsi="Times New Roman"/>
          <w:color w:val="000000"/>
          <w:sz w:val="22"/>
        </w:rPr>
        <w:t xml:space="preserve">, </w:t>
      </w:r>
      <w:r>
        <w:rPr>
          <w:rFonts w:ascii="Times New Roman" w:hAnsi="Times New Roman"/>
          <w:caps/>
          <w:color w:val="000000"/>
          <w:sz w:val="22"/>
        </w:rPr>
        <w:t>Determination of Offering Price</w:t>
      </w:r>
      <w:r>
        <w:rPr>
          <w:rFonts w:ascii="Times New Roman" w:hAnsi="Times New Roman"/>
          <w:color w:val="000000"/>
          <w:sz w:val="20"/>
        </w:rPr>
        <w:t xml:space="preserve"> </w:t>
      </w:r>
      <w:r>
        <w:rPr>
          <w:rFonts w:ascii="Times New Roman" w:hAnsi="Times New Roman"/>
          <w:color w:val="000000"/>
          <w:sz w:val="22"/>
        </w:rPr>
        <w:t>AND DIVIDEND INFORMATION</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Market Price and Determination of Offering Price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Our common stock is listed on the Nasdaq Capital Market under the symbol “DCOY.” Prior to January 8, 2026, our common stock traded on Nasdaq under the symbol “SLRX.”</w:t>
      </w:r>
    </w:p>
    <w:p>
      <w:pPr>
        <w:pStyle w:val="TextBody"/>
        <w:bidi w:val="0"/>
        <w:spacing w:before="160" w:after="283"/>
        <w:jc w:val="left"/>
        <w:rPr>
          <w:rFonts w:ascii="Times New Roman" w:hAnsi="Times New Roman"/>
          <w:sz w:val="20"/>
        </w:rPr>
      </w:pPr>
      <w:r>
        <w:rPr>
          <w:rFonts w:ascii="Times New Roman" w:hAnsi="Times New Roman"/>
          <w:color w:val="000000"/>
          <w:sz w:val="22"/>
        </w:rPr>
        <w:t>On July 8, 2026, the last reported sale price of our common stock on Nasdaq was $5.75 per share.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stockholders will determine at what price(s) they may sell the shares of common stock, and such sales may be made at prevailing market prices, or at privately negotiated prices.</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Holders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As of March 19, 2026, we had approximately 16 holders of record of our common stock. Because many of our shares of common stock are held by brokers and other institutions on behalf of stockholders, this number is not representative of the number of beneficial holders of our common stock or the total number of stockholders.</w:t>
      </w:r>
    </w:p>
    <w:p>
      <w:pPr>
        <w:pStyle w:val="TextBody"/>
        <w:bidi w:val="0"/>
        <w:spacing w:before="200" w:after="283"/>
        <w:jc w:val="left"/>
        <w:rPr>
          <w:rFonts w:ascii="Times New Roman" w:hAnsi="Times New Roman"/>
          <w:sz w:val="20"/>
        </w:rPr>
      </w:pPr>
      <w:r>
        <w:rPr>
          <w:rFonts w:ascii="Times New Roman" w:hAnsi="Times New Roman"/>
          <w:b/>
          <w:color w:val="000000"/>
          <w:sz w:val="22"/>
        </w:rPr>
        <w:t>Dividend Policy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have never declared or paid any cash dividends on our common stock and do not anticipate paying any cash dividends in the foreseeable future. We currently intend to retain all available funds and any future earnings, if any, to fund the development and growth of our business. Any future determination to declare and pay cash dividends, if any, will be made at the discretion of our board of directors and will depend on a number of factors, including our financial condition, results of operations, capital requirements, contractual restrictions, general business conditions and other factors that our board of directors deems relevant.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9" w:name="the_private_placement"/>
      <w:bookmarkEnd w:id="9"/>
      <w:r>
        <w:rPr>
          <w:rFonts w:ascii="Times New Roman" w:hAnsi="Times New Roman"/>
          <w:color w:val="000000"/>
          <w:sz w:val="22"/>
        </w:rPr>
        <w:t>THE PRIVATE PLACEMENT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Overview</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On June 26, 2026, we entered into the Securities Purchase Agreement with the Purchaser for the Private Placement, which closed on June 29, 2026. At the closing, we agreed to issue and sell to the Purchaser, at a purchase price of $5.91 per share, an aggregate of 592,217 shares of common stock or, at the Purchaser’s election to the extent its purchase would otherwise cause it to exceed the beneficial ownership limitation, Pre-Funded Warrants in lieu thereof. The Purchaser elected to purchase Pre-Funded Warrants in lieu of shares of common stock, and accordingly we issued Pre-Funded Warrants to purchase 592,217 shares of common stock and did not issue any shares of common stock at the closing. The Private Placement resulted in approximately $3.5 million in aggregate gross proceeds to us, before deducting placement agent fees and other offering expenses.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Pre-Funded Warrants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Each Pre-Funded Warrant has an exercise price of $0.0001 per share, is immediately exercisable and may be exercised at any time until exercised in full, subject to the beneficial ownership limitation described below. The Pre-Funded Warrants may be exercised on a cashless basis.</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Milestone Warrants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Together with the Pre-Funded Warrants, we issued to the Purchaser accompanying milestone-based Series A warrants to purchase 592,217 shares of common stock, Series B warrants to purchase 1,184,434 shares of common stock and Series C warrants to purchase 1,184,434 shares of common stock. Each Milestone Warrant has an exercise price of $5.91 per share, becomes exercisable upon stockholder approval, and expires on the earlier of (i) the 90th day following the occurrence of the applicable milestone event and (ii) June 26, 2031. The milestone event applicable to the Series A warrants is the later of the date of stockholder approval and the date of filing of a clinical trial application in the European Economic Area to commence a Phase 1 clinical trial; the milestone event applicable to the Series B warrants is the later of the date of stockholder approval and the date of the Company’s provision of notice to the holder of its receipt of formal written approval from the United Kingdom Medicines and Healthcare products Regulatory Agency to conduct a Phase 2a human challenge trial; and the milestone event applicable to the Series C warrants is the later of the date of stockholder approval and the date of the Company’s public announcement that the Phase 2a human challenge trial met its primary endpoint. If fully exercised for cash, the Milestone Warrants would result in additional aggregate gross proceeds of approximately $17.5 million.</w:t>
      </w:r>
    </w:p>
    <w:p>
      <w:pPr>
        <w:pStyle w:val="TextBody"/>
        <w:bidi w:val="0"/>
        <w:jc w:val="left"/>
        <w:rPr/>
      </w:pPr>
      <w:r>
        <w:rPr/>
        <w: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Placement Agent Warrants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Curvature Securities, LLC acted as the sole placement agent for the Private Placement (the “Placement Agent”) pursuant to a placement agency agreement, dated as of June 26, 2026, between us and the Placement Agent (the “Placement Agency Agreement”). As compensation, we agreed to pay the Placement Agent a cash fee and to issue Placement Agent Warrants to purchase an aggregate of 213,198 shares of common stock to the Placement Agent and its designee, consisting of a warrant to purchase 117,259 shares of common stock issued to Curvature Securities, LLC and a warrant to purchase 95,939 shares of common stock issued to its designee. The Placement Agent Warrants have an exercise price of $7.3875 per share (125% of the per share purchase price in the Private Placement), become exercisable six months after the date of issuance, and expire on June 26, 2031, five years after the commencement of sales in the Private Placement. The Placement Agent Warrants and the shares issuable upon their exercise are subject to a 180-day lock-up and the other transfer restrictions set forth in FINRA Rule 5110.</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Beneficial Ownership Limitation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Pre-Funded Warrants may not be exercised to the extent that, after giving effect to the exercise, the holder, together with its affiliates and attribution parties, would beneficially own more than 9.99% of our outstanding common stock. The Milestone Warrants and the Placement Agent Warrants are subject to a corresponding limitation of 4.99% or 9.99%, as applicable, which the holder may adjust upon 61 days’ prior notice to us, subject to the maximum percentage set forth in the applicable Warrant.</w:t>
      </w:r>
    </w:p>
    <w:p>
      <w:pPr>
        <w:pStyle w:val="TextBody"/>
        <w:bidi w:val="0"/>
        <w:spacing w:before="200" w:after="283"/>
        <w:jc w:val="left"/>
        <w:rPr>
          <w:rFonts w:ascii="Times New Roman" w:hAnsi="Times New Roman"/>
          <w:b/>
          <w:i/>
          <w:color w:val="000000"/>
          <w:sz w:val="22"/>
        </w:rPr>
      </w:pPr>
      <w:r>
        <w:rPr>
          <w:rFonts w:ascii="Times New Roman" w:hAnsi="Times New Roman"/>
          <w:b/>
          <w:i/>
          <w:color w:val="000000"/>
          <w:sz w:val="22"/>
        </w:rPr>
        <w:t>Registration Rights Agreement</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In connection with the Private Placement, we also entered into a registration rights agreement, dated as of June 26, 2026, with the Purchaser (the “Registration Rights Agreement”), pursuant to which we agreed to file a registration statement with the SEC covering the resale of the shares of common stock issuable upon exercise of the Pre-Funded Warrants and the Milestone Warrants no later than the 15th calendar day following the date of the Registration Rights Agreement, and to use commercially reasonable efforts to have such registration statement declared effective no later than the 45th calendar day following the date of the Registration Rights Agreement (or the 60th calendar day following such date in the event of a “limited review” by the SEC, or the 90th calendar day following such date in the event of a “full review” by the SEC), subject to specified liquidated damages (generally 1.5% of the Purchaser’s subscription amount upon each triggering event and monthly until cured, capped at 10.5% in the aggregate) for failure to meet those deadlines. The registration statement of which this prospectus forms a part is being filed in part to satisfy our obligations under the Registration Rights Agreement.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foregoing summaries of the Securities Purchase Agreement, the Warrants, the Placement Agency Agreement and the Registration Rights Agreement do not purport to be complete and are qualified in their entirety by reference to the full text of each such document, copies of which are filed as exhibits to, or incorporated by reference into, the registration statement of which this prospectus forms a part.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0" w:name="selling_stockholders"/>
      <w:bookmarkEnd w:id="10"/>
      <w:r>
        <w:rPr>
          <w:rFonts w:ascii="Times New Roman" w:hAnsi="Times New Roman"/>
          <w:color w:val="000000"/>
          <w:sz w:val="22"/>
        </w:rPr>
        <w:t>SELLING STOCKHOLDERS</w:t>
      </w:r>
    </w:p>
    <w:p>
      <w:pPr>
        <w:pStyle w:val="TextBody"/>
        <w:bidi w:val="0"/>
        <w:spacing w:before="200" w:after="283"/>
        <w:jc w:val="left"/>
        <w:rPr>
          <w:rFonts w:ascii="Times New Roman" w:hAnsi="Times New Roman"/>
          <w:sz w:val="20"/>
        </w:rPr>
      </w:pPr>
      <w:r>
        <w:rPr>
          <w:rFonts w:ascii="Times New Roman" w:hAnsi="Times New Roman"/>
          <w:color w:val="000000"/>
          <w:sz w:val="22"/>
        </w:rPr>
        <w:t>This prospectus relates to the possible resale from time to time by the selling stockholders of up to 3,766,500 shares of common stock issuable upon exercise of the Warrants issued in the Private Placement. For additional information regarding the issuance of the Warrants, see “The Private Placement” above. We are registering the shares of common stock in order to permit the selling stockholders to offer the shares for resale from time to time.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Except for the transactions contemplated by the Securities Purchase Agreement, the Warrants, the Placement Agency Agreement and the Registration Rights Agreement, and except as set forth below or in the documents incorporated by reference herein, the selling stockholders have not had any material relationship with us within the past three years. Ladenburg Thalmann &amp; Co. Inc. acted as the sole book-running manager for our underwritten public offering that closed on November 12, 2025, and received 95,939 Placement Agent Warrants offered hereby, as a designee of the Placement Agent, in consideration for the waiver of its right of first refusal with respect to the transaction with Curvature Securities, LLC. Curvature Securities, LLC acted as the sole placement agent for the Private Placement, for which it received cash fees on behalf of itself and its designee, Ladenburg Thalmann &amp; Co. Inc., and 117,259 Placement Agent Warrants offered hereby.</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table below presents information regarding the selling stockholders and the shares of common stock that they may offer from time to time under this prospectus. The number of shares in the column “Shares Beneficially Owned Prior to Offering” assumes the exercise in full of all Warrants held by each selling stockholder as of the trading day immediately preceding the date this registration statement was initially filed with the SEC, without regard to any limitations on exercise. The number of shares in the column “Maximum Number of Shares of Common Stock to be Offered Pursuant to this Prospectus” represents all of the shares of common stock that each selling stockholder may offer under this prospectus, without giving effect to the beneficial ownership limitations contained in the Warrants. The percentage of beneficial ownership is based on 531,968 shares of common stock outstanding as of June 9, 2026.</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In accordance with the terms of a registration rights agreement with the selling stockholders, this prospectus generally covers the resale of the sum of (i) the number of shares of common stock issued to the selling stockholders in the “Private Placement”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stockholders pursuant to this prospectus.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Under the terms of the Warrants, a selling stockholder may not exercise the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columns below does not reflect this limitation. The selling stockholders may sell all, some or none of their shares in this offering. See “Plan of Distribution.”</w:t>
      </w:r>
    </w:p>
    <w:p>
      <w:pPr>
        <w:pStyle w:val="TextBody"/>
        <w:bidi w:val="0"/>
        <w:jc w:val="left"/>
        <w:rPr/>
      </w:pPr>
      <w:r>
        <w:rPr/>
        <w:t> </w:t>
      </w:r>
    </w:p>
    <w:tbl>
      <w:tblPr>
        <w:tblW w:w="9351" w:type="dxa"/>
        <w:jc w:val="left"/>
        <w:tblInd w:w="0" w:type="dxa"/>
        <w:tblLayout w:type="fixed"/>
        <w:tblCellMar>
          <w:top w:w="28" w:type="dxa"/>
          <w:left w:w="28" w:type="dxa"/>
          <w:bottom w:w="28" w:type="dxa"/>
          <w:right w:w="28" w:type="dxa"/>
        </w:tblCellMar>
      </w:tblPr>
      <w:tblGrid>
        <w:gridCol w:w="3571"/>
        <w:gridCol w:w="1471"/>
        <w:gridCol w:w="1171"/>
        <w:gridCol w:w="1096"/>
        <w:gridCol w:w="1036"/>
        <w:gridCol w:w="1006"/>
      </w:tblGrid>
      <w:tr>
        <w:trPr/>
        <w:tc>
          <w:tcPr>
            <w:tcW w:w="35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Name of</w:t>
            </w:r>
          </w:p>
          <w:p>
            <w:pPr>
              <w:pStyle w:val="TableContents"/>
              <w:bidi w:val="0"/>
              <w:jc w:val="center"/>
              <w:rPr>
                <w:rFonts w:ascii="Times New Roman" w:hAnsi="Times New Roman"/>
                <w:b/>
                <w:color w:val="000000"/>
                <w:sz w:val="22"/>
              </w:rPr>
            </w:pPr>
            <w:r>
              <w:rPr>
                <w:rFonts w:ascii="Times New Roman" w:hAnsi="Times New Roman"/>
                <w:b/>
                <w:color w:val="000000"/>
                <w:sz w:val="22"/>
              </w:rPr>
              <w:t>Selling</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Stockholder</w:t>
            </w:r>
          </w:p>
        </w:tc>
        <w:tc>
          <w:tcPr>
            <w:tcW w:w="14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Shares</w:t>
            </w:r>
          </w:p>
          <w:p>
            <w:pPr>
              <w:pStyle w:val="TableContents"/>
              <w:bidi w:val="0"/>
              <w:jc w:val="center"/>
              <w:rPr>
                <w:rFonts w:ascii="Times New Roman" w:hAnsi="Times New Roman"/>
                <w:b/>
                <w:color w:val="000000"/>
                <w:sz w:val="22"/>
              </w:rPr>
            </w:pPr>
            <w:r>
              <w:rPr>
                <w:rFonts w:ascii="Times New Roman" w:hAnsi="Times New Roman"/>
                <w:b/>
                <w:color w:val="000000"/>
                <w:sz w:val="22"/>
              </w:rPr>
              <w:t>Beneficially</w:t>
            </w:r>
          </w:p>
          <w:p>
            <w:pPr>
              <w:pStyle w:val="TableContents"/>
              <w:bidi w:val="0"/>
              <w:jc w:val="center"/>
              <w:rPr>
                <w:rFonts w:ascii="Times New Roman" w:hAnsi="Times New Roman"/>
                <w:b/>
                <w:color w:val="000000"/>
                <w:sz w:val="22"/>
              </w:rPr>
            </w:pPr>
            <w:r>
              <w:rPr>
                <w:rFonts w:ascii="Times New Roman" w:hAnsi="Times New Roman"/>
                <w:b/>
                <w:color w:val="000000"/>
                <w:sz w:val="22"/>
              </w:rPr>
              <w:t>Owned Prior</w:t>
            </w:r>
          </w:p>
          <w:p>
            <w:pPr>
              <w:pStyle w:val="TableContents"/>
              <w:bidi w:val="0"/>
              <w:spacing w:before="0" w:after="283"/>
              <w:jc w:val="center"/>
              <w:rPr>
                <w:rFonts w:ascii="Times New Roman" w:hAnsi="Times New Roman"/>
                <w:sz w:val="22"/>
              </w:rPr>
            </w:pPr>
            <w:r>
              <w:rPr>
                <w:rFonts w:ascii="Times New Roman" w:hAnsi="Times New Roman"/>
                <w:b/>
                <w:color w:val="000000"/>
                <w:sz w:val="22"/>
              </w:rPr>
              <w:t>to Offering</w:t>
            </w:r>
            <w:r>
              <w:rPr>
                <w:rFonts w:ascii="Times New Roman" w:hAnsi="Times New Roman"/>
                <w:color w:val="000000"/>
                <w:sz w:val="22"/>
              </w:rPr>
              <w:t>(1)</w:t>
            </w:r>
          </w:p>
        </w:tc>
        <w:tc>
          <w:tcPr>
            <w:tcW w:w="1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 Prior to</w:t>
            </w:r>
          </w:p>
          <w:p>
            <w:pPr>
              <w:pStyle w:val="TableContents"/>
              <w:bidi w:val="0"/>
              <w:spacing w:before="0" w:after="283"/>
              <w:jc w:val="center"/>
              <w:rPr>
                <w:rFonts w:ascii="Times New Roman" w:hAnsi="Times New Roman"/>
                <w:sz w:val="22"/>
              </w:rPr>
            </w:pPr>
            <w:r>
              <w:rPr>
                <w:rFonts w:ascii="Times New Roman" w:hAnsi="Times New Roman"/>
                <w:b/>
                <w:color w:val="000000"/>
                <w:sz w:val="22"/>
              </w:rPr>
              <w:t>Offering</w:t>
            </w:r>
            <w:r>
              <w:rPr>
                <w:rFonts w:ascii="Times New Roman" w:hAnsi="Times New Roman"/>
                <w:color w:val="000000"/>
                <w:sz w:val="15"/>
              </w:rPr>
              <w:t>(2)</w:t>
            </w:r>
          </w:p>
        </w:tc>
        <w:tc>
          <w:tcPr>
            <w:tcW w:w="10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Maximum</w:t>
            </w:r>
          </w:p>
          <w:p>
            <w:pPr>
              <w:pStyle w:val="TableContents"/>
              <w:bidi w:val="0"/>
              <w:jc w:val="center"/>
              <w:rPr>
                <w:rFonts w:ascii="Times New Roman" w:hAnsi="Times New Roman"/>
                <w:b/>
                <w:color w:val="000000"/>
                <w:sz w:val="22"/>
              </w:rPr>
            </w:pPr>
            <w:r>
              <w:rPr>
                <w:rFonts w:ascii="Times New Roman" w:hAnsi="Times New Roman"/>
                <w:b/>
                <w:color w:val="000000"/>
                <w:sz w:val="22"/>
              </w:rPr>
              <w:t>Shares</w:t>
            </w:r>
          </w:p>
          <w:p>
            <w:pPr>
              <w:pStyle w:val="TableContents"/>
              <w:bidi w:val="0"/>
              <w:jc w:val="center"/>
              <w:rPr>
                <w:rFonts w:ascii="Times New Roman" w:hAnsi="Times New Roman"/>
                <w:b/>
                <w:color w:val="000000"/>
                <w:sz w:val="22"/>
              </w:rPr>
            </w:pPr>
            <w:r>
              <w:rPr>
                <w:rFonts w:ascii="Times New Roman" w:hAnsi="Times New Roman"/>
                <w:b/>
                <w:color w:val="000000"/>
                <w:sz w:val="22"/>
              </w:rPr>
              <w:t>Offered</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Hereby</w:t>
            </w:r>
          </w:p>
        </w:tc>
        <w:tc>
          <w:tcPr>
            <w:tcW w:w="2042"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22"/>
              </w:rPr>
            </w:pPr>
            <w:r>
              <w:rPr>
                <w:rFonts w:ascii="Times New Roman" w:hAnsi="Times New Roman"/>
                <w:b/>
                <w:color w:val="000000"/>
                <w:sz w:val="22"/>
              </w:rPr>
              <w:t>Number of</w:t>
            </w:r>
          </w:p>
          <w:p>
            <w:pPr>
              <w:pStyle w:val="TableContents"/>
              <w:bidi w:val="0"/>
              <w:jc w:val="center"/>
              <w:rPr>
                <w:rFonts w:ascii="Times New Roman" w:hAnsi="Times New Roman"/>
                <w:b/>
                <w:color w:val="000000"/>
                <w:sz w:val="22"/>
              </w:rPr>
            </w:pPr>
            <w:r>
              <w:rPr>
                <w:rFonts w:ascii="Times New Roman" w:hAnsi="Times New Roman"/>
                <w:b/>
                <w:color w:val="000000"/>
                <w:sz w:val="22"/>
              </w:rPr>
              <w:t>Shares of</w:t>
            </w:r>
          </w:p>
          <w:p>
            <w:pPr>
              <w:pStyle w:val="TableContents"/>
              <w:bidi w:val="0"/>
              <w:jc w:val="center"/>
              <w:rPr>
                <w:rFonts w:ascii="Times New Roman" w:hAnsi="Times New Roman"/>
                <w:b/>
                <w:color w:val="000000"/>
                <w:sz w:val="22"/>
              </w:rPr>
            </w:pPr>
            <w:r>
              <w:rPr>
                <w:rFonts w:ascii="Times New Roman" w:hAnsi="Times New Roman"/>
                <w:b/>
                <w:color w:val="000000"/>
                <w:sz w:val="22"/>
              </w:rPr>
              <w:t>Common Stock</w:t>
            </w:r>
          </w:p>
          <w:p>
            <w:pPr>
              <w:pStyle w:val="TableContents"/>
              <w:bidi w:val="0"/>
              <w:jc w:val="center"/>
              <w:rPr>
                <w:rFonts w:ascii="Times New Roman" w:hAnsi="Times New Roman"/>
                <w:b/>
                <w:color w:val="000000"/>
                <w:sz w:val="22"/>
              </w:rPr>
            </w:pPr>
            <w:r>
              <w:rPr>
                <w:rFonts w:ascii="Times New Roman" w:hAnsi="Times New Roman"/>
                <w:b/>
                <w:color w:val="000000"/>
                <w:sz w:val="22"/>
              </w:rPr>
              <w:t>Owned After</w:t>
            </w:r>
          </w:p>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Offering</w:t>
            </w:r>
          </w:p>
        </w:tc>
      </w:tr>
      <w:tr>
        <w:trPr/>
        <w:tc>
          <w:tcPr>
            <w:tcW w:w="3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Number</w:t>
            </w:r>
            <w:r>
              <w:rPr>
                <w:rFonts w:ascii="Times New Roman" w:hAnsi="Times New Roman"/>
                <w:color w:val="000000"/>
                <w:sz w:val="15"/>
              </w:rPr>
              <w:t>(2)</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color w:val="000000"/>
                <w:sz w:val="22"/>
              </w:rPr>
              <w:t>Percent</w:t>
            </w:r>
            <w:r>
              <w:rPr>
                <w:rFonts w:ascii="Times New Roman" w:hAnsi="Times New Roman"/>
                <w:color w:val="000000"/>
                <w:sz w:val="15"/>
              </w:rPr>
              <w:t>(2)</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Armistice Capital Master Fund Ltd.</w:t>
            </w:r>
            <w:r>
              <w:rPr>
                <w:rFonts w:ascii="Times New Roman" w:hAnsi="Times New Roman"/>
                <w:color w:val="000000"/>
                <w:sz w:val="15"/>
              </w:rPr>
              <w:t>(3)</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3,553,302</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87.0%</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3,553,302</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Curvature Securities, LLC</w:t>
            </w:r>
            <w:r>
              <w:rPr>
                <w:rFonts w:ascii="Times New Roman" w:hAnsi="Times New Roman"/>
                <w:color w:val="000000"/>
                <w:sz w:val="15"/>
              </w:rPr>
              <w:t>(4)</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35,178</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6.2%</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35,178</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Joseph Haughton</w:t>
            </w:r>
            <w:r>
              <w:rPr>
                <w:rFonts w:ascii="Times New Roman" w:hAnsi="Times New Roman"/>
                <w:color w:val="000000"/>
                <w:sz w:val="15"/>
              </w:rPr>
              <w:t>(5)</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46,904</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8.1%</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46,904</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Thomas Mercurio</w:t>
            </w:r>
            <w:r>
              <w:rPr>
                <w:rFonts w:ascii="Times New Roman" w:hAnsi="Times New Roman"/>
                <w:color w:val="000000"/>
                <w:sz w:val="15"/>
              </w:rPr>
              <w:t>(5)</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11,726</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2.2%</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11,726</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Julian Martino </w:t>
            </w:r>
            <w:r>
              <w:rPr>
                <w:rFonts w:ascii="Times New Roman" w:hAnsi="Times New Roman"/>
                <w:color w:val="000000"/>
                <w:sz w:val="15"/>
              </w:rPr>
              <w:t>(5)</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8,795</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8,795</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John Karr</w:t>
            </w:r>
            <w:r>
              <w:rPr>
                <w:rFonts w:ascii="Times New Roman" w:hAnsi="Times New Roman"/>
                <w:color w:val="000000"/>
                <w:sz w:val="15"/>
              </w:rPr>
              <w:t>(5)</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8,794</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1.6%</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8,794</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Dante Gentile </w:t>
            </w:r>
            <w:r>
              <w:rPr>
                <w:rFonts w:ascii="Times New Roman" w:hAnsi="Times New Roman"/>
                <w:color w:val="000000"/>
                <w:sz w:val="15"/>
              </w:rPr>
              <w:t>(5)</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2,931</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2,931</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Andrew Johnson</w:t>
            </w:r>
            <w:r>
              <w:rPr>
                <w:rFonts w:ascii="Times New Roman" w:hAnsi="Times New Roman"/>
                <w:color w:val="000000"/>
                <w:sz w:val="15"/>
              </w:rPr>
              <w:t>(5)</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2,931</w:t>
            </w:r>
          </w:p>
        </w:tc>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2,931</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2"/>
              </w:rPr>
              <w:t>Ladenburg Thalmann &amp; Co. Inc.</w:t>
            </w:r>
            <w:r>
              <w:rPr>
                <w:rFonts w:ascii="Times New Roman" w:hAnsi="Times New Roman"/>
                <w:color w:val="000000"/>
                <w:sz w:val="15"/>
              </w:rPr>
              <w:t>(6)</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95,939</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15.3%</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95,939</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3,766,500</w:t>
            </w:r>
          </w:p>
        </w:tc>
        <w:tc>
          <w:tcPr>
            <w:tcW w:w="1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3,766,500</w:t>
            </w:r>
          </w:p>
        </w:tc>
        <w:tc>
          <w:tcPr>
            <w:tcW w:w="103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00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Less than 1.0%</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 Represents the shares of common stock issuable upon exercise of the Warrants held by each selling stockholder, without giving effect to the beneficial ownership limitations contained in the Warrants. The Milestone Warrants are not exercisable unless and until the applicable milestone events are satisfied and we obtain the stockholder approval described under “The Private Placement,” and the Placement Agent Warrants become exercisable six months after issuance; as a result, the shares shown may not be issuable within 60 days and may overstate the number of shares a selling stockholder has the right to acquire.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 Assumes the sale of all shares of common stock offered hereby. Percentages are based on 531,968 shares of common stock outstanding as of June 9, 2026 and, for each selling stockholder, treat as outstanding the shares of common stock issuable upon exercise of the Warrants held by that selling stockholder (but not Warrants held by any other selling stockholder), in each case assuming exercise in full and without giving effect to the beneficial ownership limitations contained in the Warrants or the conditions to the exercisability of the Milestone Warrants and the Placement Agent Warrants. Beneficial ownership determined in accordance with Rule 13d-3 under the Exchange Act, which gives effect to those limitations and conditions, would be substantially lower. See footnotes (1) and (3).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 Consists of shares of common stock issuable upon exercise of the Pre-Funded Warrants and the Milestone Warrants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Warrants are subject to a beneficial ownership limitation of 4.99%, which such limitation restricts the selling stockholder from exercising that portion of the Warrants that would result in the selling stockholder and its affiliates owning, after exercise, a number of shares of common stock in excess of the beneficial ownership limitation. The address of Armistice Capital Master Fund Ltd. is c/o Armistice Capital, LLC, 510 Madison Avenue, 7th Floor, New York, NY 10022.</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(4) Consists of shares of common stock issuable upon exercise of the Placement Agent Warrant held by Curvature Securities, LLC, which acted as the sole placement agent for the Private Placement. Curvature Securities, LLC is a registered broker-dealer. Curvature Securities, LLC has sole voting and dispositive power over the securities held by it, and its registered address is 39 Main Street, Chatham, New Jersey 07928.</w:t>
      </w:r>
    </w:p>
    <w:p>
      <w:pPr>
        <w:pStyle w:val="TextBody"/>
        <w:bidi w:val="0"/>
        <w:spacing w:before="120" w:after="283"/>
        <w:jc w:val="left"/>
        <w:rPr>
          <w:rFonts w:ascii="Times New Roman" w:hAnsi="Times New Roman"/>
          <w:sz w:val="20"/>
        </w:rPr>
      </w:pPr>
      <w:r>
        <w:rPr>
          <w:rFonts w:ascii="Times New Roman" w:hAnsi="Times New Roman"/>
          <w:color w:val="000000"/>
          <w:sz w:val="22"/>
        </w:rPr>
        <w:t>(5) Consists of shares of common stock issuable upon exercise of the Placement Agent Warrants. Each of Messrs. Haughton, Mercurio, Martino, Karr, Gentile and Johnson was issued the Placement Agent Warrants as a designee of the Placement Agent in connection with the Private Placement described below. Each of Messrs. Haughton, Mercurio, Martino, Karr, Gentile and Johnson are affiliated with Curvature Securities, LLC, a registered broker-dealer with a registered address of 39 Main Street, Chatham, New Jersey 07928, and, as a designee of the Placement Agent, received the Placement Agent Warrants as compensation in the transaction described above under the caption “Private Placement.” Each of Messrs. Haughton, Mercurio, Martino, Karr, Gentile and Johnson acquired the Placement Agent Warrants in the ordinary course of business and, at the time the Placement Agent Warrants were acquired, such individuals had no agreement or understanding, directly or indirectly, with any person to distribute such securities. Each of Messrs. Haughton, Mercurio, Martino, Karr, Gentile and Johnson has sole voting and dispositive power over the securities held.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(6) Consists of shares of common stock issuable upon exercise of the Placement Agent Warrant held by Ladenburg Thalmann &amp; Co. Inc., as designee of the Placement Agent. Ladenburg Thalmann &amp; Co. Inc. is a registered broker-dealer. Ladenburg Thalmann &amp; Co. Inc. has sole voting and dispositive power over the securities held by it, and its registered address is 640 Fifth Avenue, 4th Floor, New York, NY 10019.</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1" w:name="plan_of_distribution"/>
      <w:bookmarkEnd w:id="11"/>
      <w:r>
        <w:rPr>
          <w:rFonts w:ascii="Times New Roman" w:hAnsi="Times New Roman"/>
          <w:color w:val="000000"/>
          <w:sz w:val="22"/>
        </w:rPr>
        <w:t>PLAN OF DISTRIBUTION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Each selling stockholder of the securities covered by this prospectus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ordinary brokerage transactions and transactions in which the broker-dealer solicits purchasers;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block trades in which the broker-dealer will attempt to sell the securities as agent but may position and resell a portion of the block as principal to facilitate the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purchases by a broker-dealer as principal and resale by the broker-dealer for its account;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 exchange distribution in accordance with the rules of the applicable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privately negotiated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settlement of short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 transactions through broker-dealers that agree with the selling stockholders to sell a specified number of such securities at a stipulated price per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through the writing or settlement of options or other hedging transactions, whether through an options exchange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 combination of any such methods of sale;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any other method permitted pursuant to applicable law.</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stockholders may also sell securities under Rule 144 or any other exemption from registration under the Securities Act, if available, rather than under this prospectus.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or (ii) the date on which all of the securities have been sold pursuant to this prospectus or Rule 144 under the Securities Act or any other rule of similar effect. The securities covered hereby will be sold only through registered or licensed brokers or dealers if required under applicable state securities laws. In addition, in certain states, the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Under applicable rules and regulations under the Exchange Act, any person engaged in the distribution of the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securities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common stock is currently listed on The Nasdaq Capital Market under the symbol “DCOY.”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12" w:name="mda"/>
      <w:bookmarkEnd w:id="12"/>
      <w:r>
        <w:rPr>
          <w:rFonts w:ascii="Times New Roman" w:hAnsi="Times New Roman"/>
          <w:color w:val="000000"/>
          <w:sz w:val="22"/>
        </w:rPr>
        <w:t>MANAGEMENT’S DISCUSSION AND ANALYSIS OF FINANCIAL CONDITION AND RESULTS OF OPERATIONS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Our discussion and analysis of financial condition and results of operations is incorporated by reference from Part II, Item 7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3" w:name="business"/>
      <w:bookmarkEnd w:id="13"/>
      <w:r>
        <w:rPr>
          <w:rFonts w:ascii="Times New Roman" w:hAnsi="Times New Roman"/>
          <w:color w:val="000000"/>
          <w:sz w:val="22"/>
        </w:rPr>
        <w:t>BUSINESS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business is incorporated by reference from Part I, Item 1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4" w:name="description_of_capital_stock"/>
      <w:bookmarkEnd w:id="14"/>
      <w:r>
        <w:rPr>
          <w:rFonts w:ascii="Times New Roman" w:hAnsi="Times New Roman"/>
          <w:color w:val="000000"/>
          <w:sz w:val="22"/>
        </w:rPr>
        <w:t>DESCRIPTION OF CAPITAL STOCK</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selling stockholders are offering for resale up to an aggregate of 3,766,500 shares of our common stock. The terms of our common stock are contained in our amended and restated certificate of incorporation, as amended (the “Amended and Restated Certificate of Incorporation”), and our second amended and restated bylaws, each as filed or incorporated by reference as exhibits to our Annual Report on Form 10-K for the fiscal year ended December 31, 2025, as amended. For a description of our common stock, see Exhibit 4.9—Description of The Company’s Securities Registered Under Section 12 of the Securities Exchange Act of 1934, As Amended, to our Annual Report on Form 10-K for the fiscal year ended December 31, 2025, filed with the SEC on March 31, 2026, as amended by Amendment No. 1 on Form 10-K/A filed with the SEC on April 30, 2026.</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Our Amended and Restated Certificate of Incorporation, as amended, authorizes the issuance of up to 100,000,000 shares of common stock, par value $0.0001 per share, and up to 10,000,000 shares of preferred stock, par value $0.0001 per share, of which we have designated (i) 877.709 shares of Series A Preferred Stock, 877.709 of which are issued and outstanding as of March 31, 2026; and (ii) 796.306 of our shares of Series B Preferred Stock, 796.306 of which are issued and outstanding as of March 31, 2026. As of June 9, 2026, we had 531,968 shares of common stock outstanding. The Series A Preferred Stock and Series B Preferred Stock are not convertible into common stock until our stockholders approve such conversion in accordance with Nasdaq Listing Rule 5635 and we satisfy the applicable Nasdaq initial listing requirements. Our board of directors may establish the rights and preferences of any additional series of preferred stock from time to time.</w:t>
      </w:r>
    </w:p>
    <w:p>
      <w:pPr>
        <w:pStyle w:val="Heading1"/>
        <w:bidi w:val="0"/>
        <w:spacing w:before="200" w:after="283"/>
        <w:jc w:val="center"/>
        <w:rPr>
          <w:rFonts w:ascii="Times New Roman" w:hAnsi="Times New Roman"/>
          <w:color w:val="000000"/>
          <w:sz w:val="22"/>
        </w:rPr>
      </w:pPr>
      <w:bookmarkStart w:id="15" w:name="directors_executive_officers"/>
      <w:bookmarkEnd w:id="15"/>
      <w:r>
        <w:rPr>
          <w:rFonts w:ascii="Times New Roman" w:hAnsi="Times New Roman"/>
          <w:color w:val="000000"/>
          <w:sz w:val="22"/>
        </w:rPr>
        <w:t>DIRECTORS, EXECUTIVE OFFICERS, AND CORPORATE GOVERNANCE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directors, executive officers and corporate governance is incorporated by reference from Part III, Item 10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6" w:name="executive_compensation"/>
      <w:bookmarkEnd w:id="16"/>
      <w:r>
        <w:rPr>
          <w:rFonts w:ascii="Times New Roman" w:hAnsi="Times New Roman"/>
          <w:color w:val="000000"/>
          <w:sz w:val="22"/>
        </w:rPr>
        <w:t>EXECUTIVE COMPENSATION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our executive compensation is incorporated by reference from Part III, Item 11 of the Company’s Annual Report on Form 10-K, as filed with the SEC on March 31, 2026, as amended by Amendment No. 1 on Form 10-K/A, filed with the SEC on April 30, 2026 (see “Incorporation of Certain Information by Reference”).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00" w:after="283"/>
        <w:jc w:val="center"/>
        <w:rPr>
          <w:rFonts w:ascii="Times New Roman" w:hAnsi="Times New Roman"/>
          <w:color w:val="000000"/>
          <w:sz w:val="22"/>
        </w:rPr>
      </w:pPr>
      <w:bookmarkStart w:id="17" w:name="security_ownership_of_certain_beneficial"/>
      <w:bookmarkEnd w:id="17"/>
      <w:r>
        <w:rPr>
          <w:rFonts w:ascii="Times New Roman" w:hAnsi="Times New Roman"/>
          <w:color w:val="000000"/>
          <w:sz w:val="22"/>
        </w:rPr>
        <w:t>SECURITY OWNERSHIP OF CERTAIN BENEFICIAL OWNERS AND MANAGEMENT AND RELATED STOCKHOLDER MATTERS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the security ownership of certain beneficial owners and management and related stockholder matters is incorporated by reference from Part III, Item 12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8" w:name="certain_relationships_and_related_trans"/>
      <w:bookmarkEnd w:id="18"/>
      <w:r>
        <w:rPr>
          <w:rFonts w:ascii="Times New Roman" w:hAnsi="Times New Roman"/>
          <w:color w:val="000000"/>
          <w:sz w:val="22"/>
        </w:rPr>
        <w:t>CERTAIN RELATIONSHIPS AND RELATED TRANSACTIONS AND DIRECTOR INDEPENDENCE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description of certain relationships and related transactions and director independence is incorporated by reference from Part III, Item 13 of the Company’s Annual Report on Form 10-K, as filed with the SEC on March 31, 2026, as amended by Amendment No. 1 on Form 10-K/A, filed with the SEC on April 30, 2026 (see “Incorporation of Certain Information by Reference”).</w:t>
      </w:r>
    </w:p>
    <w:p>
      <w:pPr>
        <w:pStyle w:val="Heading1"/>
        <w:bidi w:val="0"/>
        <w:spacing w:before="200" w:after="283"/>
        <w:jc w:val="center"/>
        <w:rPr>
          <w:rFonts w:ascii="Times New Roman" w:hAnsi="Times New Roman"/>
          <w:color w:val="000000"/>
          <w:sz w:val="22"/>
        </w:rPr>
      </w:pPr>
      <w:bookmarkStart w:id="19" w:name="legal_matters"/>
      <w:bookmarkEnd w:id="19"/>
      <w:r>
        <w:rPr>
          <w:rFonts w:ascii="Times New Roman" w:hAnsi="Times New Roman"/>
          <w:color w:val="000000"/>
          <w:sz w:val="22"/>
        </w:rPr>
        <w:t>LEGAL MATTERS</w:t>
      </w:r>
    </w:p>
    <w:p>
      <w:pPr>
        <w:pStyle w:val="TextBody"/>
        <w:bidi w:val="0"/>
        <w:spacing w:before="200" w:after="283"/>
        <w:jc w:val="left"/>
        <w:rPr>
          <w:rFonts w:ascii="Times New Roman" w:hAnsi="Times New Roman"/>
          <w:sz w:val="20"/>
        </w:rPr>
      </w:pPr>
      <w:r>
        <w:rPr>
          <w:rFonts w:ascii="Times New Roman" w:hAnsi="Times New Roman"/>
          <w:color w:val="000000"/>
          <w:sz w:val="22"/>
        </w:rPr>
        <w:t>The validity of the shares of common stock offered by this prospectus will be passed upon for us by Honigman LLP.</w:t>
      </w:r>
      <w:r>
        <w:rPr>
          <w:rFonts w:ascii="Times New Roman" w:hAnsi="Times New Roman"/>
          <w:color w:val="000000"/>
          <w:sz w:val="20"/>
        </w:rPr>
        <w:t xml:space="preserve"> </w:t>
      </w:r>
    </w:p>
    <w:p>
      <w:pPr>
        <w:pStyle w:val="Heading1"/>
        <w:bidi w:val="0"/>
        <w:spacing w:before="200" w:after="283"/>
        <w:jc w:val="center"/>
        <w:rPr>
          <w:rFonts w:ascii="Times New Roman" w:hAnsi="Times New Roman"/>
          <w:color w:val="000000"/>
          <w:sz w:val="22"/>
        </w:rPr>
      </w:pPr>
      <w:bookmarkStart w:id="20" w:name="experts"/>
      <w:bookmarkEnd w:id="20"/>
      <w:r>
        <w:rPr>
          <w:rFonts w:ascii="Times New Roman" w:hAnsi="Times New Roman"/>
          <w:color w:val="000000"/>
          <w:sz w:val="22"/>
        </w:rPr>
        <w:t>EXPERTS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Ernst &amp; Young LLP, independent registered public accounting firm, has audited our consolidated financial statements included in our Annual Report on Form 10-K for the year ended December 31, 2025, as set forth in their report thereon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Our financial statements are incorporated by reference in reliance on Ernst &amp; Young LLP's report, given on their authority as experts in accounting and auditing.</w:t>
      </w:r>
    </w:p>
    <w:p>
      <w:pPr>
        <w:pStyle w:val="Heading1"/>
        <w:bidi w:val="0"/>
        <w:spacing w:before="200" w:after="283"/>
        <w:jc w:val="center"/>
        <w:rPr>
          <w:rFonts w:ascii="Times New Roman" w:hAnsi="Times New Roman"/>
          <w:color w:val="000000"/>
          <w:sz w:val="22"/>
        </w:rPr>
      </w:pPr>
      <w:bookmarkStart w:id="21" w:name="where_you_can_find_more_information"/>
      <w:bookmarkEnd w:id="21"/>
      <w:r>
        <w:rPr>
          <w:rFonts w:ascii="Times New Roman" w:hAnsi="Times New Roman"/>
          <w:color w:val="000000"/>
          <w:sz w:val="22"/>
        </w:rPr>
        <w:t>WHERE YOU CAN FIND MORE INFORMATION</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We file annual, quarterly and current reports, proxy statements and other information with the SEC. The SEC maintains a website at www.sec.gov that contains reports, proxy and information statements, and other information regarding issuers that file electronically with the SEC. We also maintain a website at www.decoytx.com. Information on, or accessible through, our website is not part of this prospectus. We have filed with the SEC a registration statement on Form S-1 under the Securities Act with respect to the shares of common stock offered by this prospectus. This prospectus does not contain all of the information set forth in the registration statement and its exhibits and schedules. For further information, we refer you to the registration statement and its exhibits and schedules.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bookmarkStart w:id="22" w:name="incorporation_of_certain_information"/>
      <w:bookmarkEnd w:id="22"/>
      <w:r>
        <w:rPr>
          <w:rFonts w:ascii="Times New Roman" w:hAnsi="Times New Roman"/>
          <w:color w:val="000000"/>
          <w:sz w:val="22"/>
        </w:rPr>
        <w:t>INCORPORATION OF CERTAIN INFORMATION BY REFERENCE</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SEC allows us to “incorporate by reference” into this prospectus the information in other documents that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we make with the SEC under Sections 13(a), 13(c), 14 or 15(d) of the Exchange Act (other than information furnished and not filed) after the date of the initial registration statement and prior to effectiveness, and after the date of this prospectus and prior to the termination of the offering: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our Annual Report on Form 10-K for the fiscal year ended December 31, 2025, filed with the SEC on </w:t>
      </w:r>
      <w:hyperlink r:id="rId3">
        <w:r>
          <w:rPr>
            <w:rStyle w:val="InternetLink"/>
            <w:rFonts w:ascii="Times New Roman" w:hAnsi="Times New Roman"/>
            <w:color w:val="0000FF"/>
            <w:sz w:val="22"/>
            <w:u w:val="single"/>
          </w:rPr>
          <w:t>March 31, 2026</w:t>
        </w:r>
      </w:hyperlink>
      <w:r>
        <w:rPr>
          <w:rFonts w:ascii="Times New Roman" w:hAnsi="Times New Roman"/>
          <w:color w:val="000000"/>
          <w:sz w:val="22"/>
        </w:rPr>
        <w:t xml:space="preserve">, as amended by Amendment No. 1 on Form 10-K/A filed with the SEC on </w:t>
      </w:r>
      <w:hyperlink r:id="rId4">
        <w:r>
          <w:rPr>
            <w:rStyle w:val="InternetLink"/>
            <w:rFonts w:ascii="Times New Roman" w:hAnsi="Times New Roman"/>
            <w:color w:val="0000FF"/>
            <w:sz w:val="22"/>
            <w:u w:val="single"/>
          </w:rPr>
          <w:t>April 30, 2026</w:t>
        </w:r>
      </w:hyperlink>
      <w:r>
        <w:rPr>
          <w:rFonts w:ascii="Times New Roman" w:hAnsi="Times New Roman"/>
          <w:color w:val="000000"/>
          <w:sz w:val="22"/>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our Quarterly Report on Form 10-Q for the quarter ended </w:t>
      </w:r>
      <w:hyperlink r:id="rId5">
        <w:r>
          <w:rPr>
            <w:rStyle w:val="InternetLink"/>
            <w:rFonts w:ascii="Times New Roman" w:hAnsi="Times New Roman"/>
            <w:color w:val="0000FF"/>
            <w:sz w:val="22"/>
            <w:u w:val="single"/>
          </w:rPr>
          <w:t>March 31, 2026</w:t>
        </w:r>
      </w:hyperlink>
      <w:r>
        <w:rPr>
          <w:rFonts w:ascii="Times New Roman" w:hAnsi="Times New Roman"/>
          <w:color w:val="000000"/>
          <w:sz w:val="22"/>
        </w:rPr>
        <w:t>, filed with the SEC on May 8,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our Current Reports on Form 8-K and Form 8-K/A (other than portions thereof furnished under Item 2.02 or Item 7.01 of Form 8-K and exhibits accompanying such reports that relate to such items) filed with the SEC on </w:t>
      </w:r>
      <w:hyperlink r:id="rId6">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7">
        <w:r>
          <w:rPr>
            <w:rStyle w:val="InternetLink"/>
            <w:rFonts w:ascii="Times New Roman" w:hAnsi="Times New Roman"/>
            <w:color w:val="0000FF"/>
            <w:sz w:val="22"/>
            <w:u w:val="single"/>
          </w:rPr>
          <w:t>January 2, 2026</w:t>
        </w:r>
      </w:hyperlink>
      <w:r>
        <w:rPr>
          <w:rFonts w:ascii="Times New Roman" w:hAnsi="Times New Roman"/>
          <w:color w:val="000000"/>
          <w:sz w:val="22"/>
        </w:rPr>
        <w:t xml:space="preserve">, </w:t>
      </w:r>
      <w:hyperlink r:id="rId8">
        <w:r>
          <w:rPr>
            <w:rStyle w:val="InternetLink"/>
            <w:rFonts w:ascii="Times New Roman" w:hAnsi="Times New Roman"/>
            <w:color w:val="0000FF"/>
            <w:sz w:val="22"/>
            <w:u w:val="single"/>
          </w:rPr>
          <w:t>January 8, 2026</w:t>
        </w:r>
      </w:hyperlink>
      <w:r>
        <w:rPr>
          <w:rFonts w:ascii="Times New Roman" w:hAnsi="Times New Roman"/>
          <w:color w:val="000000"/>
          <w:sz w:val="22"/>
        </w:rPr>
        <w:t xml:space="preserve">, </w:t>
      </w:r>
      <w:hyperlink r:id="rId9">
        <w:r>
          <w:rPr>
            <w:rStyle w:val="InternetLink"/>
            <w:rFonts w:ascii="Times New Roman" w:hAnsi="Times New Roman"/>
            <w:color w:val="0000FF"/>
            <w:sz w:val="22"/>
            <w:u w:val="single"/>
          </w:rPr>
          <w:t>February 25, 2026</w:t>
        </w:r>
      </w:hyperlink>
      <w:r>
        <w:rPr>
          <w:rFonts w:ascii="Times New Roman" w:hAnsi="Times New Roman"/>
          <w:color w:val="000000"/>
          <w:sz w:val="22"/>
        </w:rPr>
        <w:t xml:space="preserve">, </w:t>
      </w:r>
      <w:hyperlink r:id="rId10">
        <w:r>
          <w:rPr>
            <w:rStyle w:val="InternetLink"/>
            <w:rFonts w:ascii="Times New Roman" w:hAnsi="Times New Roman"/>
            <w:color w:val="0000FF"/>
            <w:sz w:val="22"/>
            <w:u w:val="single"/>
          </w:rPr>
          <w:t>March 5, 2026</w:t>
        </w:r>
      </w:hyperlink>
      <w:r>
        <w:rPr>
          <w:rFonts w:ascii="Times New Roman" w:hAnsi="Times New Roman"/>
          <w:color w:val="000000"/>
          <w:sz w:val="22"/>
        </w:rPr>
        <w:t xml:space="preserve">, </w:t>
      </w:r>
      <w:hyperlink r:id="rId11">
        <w:r>
          <w:rPr>
            <w:rStyle w:val="InternetLink"/>
            <w:rFonts w:ascii="Times New Roman" w:hAnsi="Times New Roman"/>
            <w:color w:val="0000FF"/>
            <w:sz w:val="22"/>
            <w:u w:val="single"/>
          </w:rPr>
          <w:t>April 2, 2026</w:t>
        </w:r>
      </w:hyperlink>
      <w:r>
        <w:rPr>
          <w:rFonts w:ascii="Times New Roman" w:hAnsi="Times New Roman"/>
          <w:color w:val="000000"/>
          <w:sz w:val="22"/>
        </w:rPr>
        <w:t xml:space="preserve">, </w:t>
      </w:r>
      <w:hyperlink r:id="rId12">
        <w:r>
          <w:rPr>
            <w:rStyle w:val="InternetLink"/>
            <w:rFonts w:ascii="Times New Roman" w:hAnsi="Times New Roman"/>
            <w:color w:val="0000FF"/>
            <w:sz w:val="22"/>
            <w:u w:val="single"/>
          </w:rPr>
          <w:t>May 19, 2026</w:t>
        </w:r>
      </w:hyperlink>
      <w:r>
        <w:rPr>
          <w:rFonts w:ascii="Times New Roman" w:hAnsi="Times New Roman"/>
          <w:color w:val="000000"/>
          <w:sz w:val="22"/>
        </w:rPr>
        <w:t xml:space="preserve">, and </w:t>
      </w:r>
      <w:hyperlink r:id="rId13">
        <w:r>
          <w:rPr>
            <w:rStyle w:val="InternetLink"/>
            <w:rFonts w:ascii="Times New Roman" w:hAnsi="Times New Roman"/>
            <w:color w:val="0000FF"/>
            <w:sz w:val="22"/>
            <w:u w:val="single"/>
          </w:rPr>
          <w:t>June 29, 2026</w:t>
        </w:r>
      </w:hyperlink>
      <w:r>
        <w:rPr>
          <w:rFonts w:ascii="Times New Roman" w:hAnsi="Times New Roman"/>
          <w:color w:val="000000"/>
          <w:sz w:val="22"/>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2"/>
        </w:rPr>
        <w:t xml:space="preserve">the description of our common stock contained in our Registration Statement on </w:t>
      </w:r>
      <w:hyperlink r:id="rId14">
        <w:r>
          <w:rPr>
            <w:rStyle w:val="InternetLink"/>
            <w:rFonts w:ascii="Times New Roman" w:hAnsi="Times New Roman"/>
            <w:color w:val="0000FF"/>
            <w:sz w:val="22"/>
            <w:u w:val="single"/>
          </w:rPr>
          <w:t>Form 8-A</w:t>
        </w:r>
      </w:hyperlink>
      <w:r>
        <w:rPr>
          <w:color w:val="000000"/>
        </w:rPr>
        <w:t xml:space="preserve"> </w:t>
      </w:r>
      <w:r>
        <w:rPr>
          <w:rFonts w:ascii="Times New Roman" w:hAnsi="Times New Roman"/>
          <w:color w:val="000000"/>
          <w:sz w:val="22"/>
        </w:rPr>
        <w:t xml:space="preserve">filed on January 23, 2015, as updated by </w:t>
      </w:r>
      <w:hyperlink r:id="rId15">
        <w:r>
          <w:rPr>
            <w:rStyle w:val="InternetLink"/>
            <w:rFonts w:ascii="Times New Roman" w:hAnsi="Times New Roman"/>
            <w:color w:val="0000FF"/>
            <w:sz w:val="22"/>
            <w:u w:val="single"/>
          </w:rPr>
          <w:t>Exhibit 4.9</w:t>
        </w:r>
      </w:hyperlink>
      <w:r>
        <w:rPr>
          <w:color w:val="000000"/>
        </w:rPr>
        <w:t xml:space="preserve"> </w:t>
      </w:r>
      <w:r>
        <w:rPr>
          <w:rFonts w:ascii="Times New Roman" w:hAnsi="Times New Roman"/>
          <w:color w:val="000000"/>
          <w:sz w:val="22"/>
        </w:rPr>
        <w:t xml:space="preserve">to the Registrant’s Annual Report on </w:t>
      </w:r>
      <w:hyperlink r:id="rId16">
        <w:r>
          <w:rPr>
            <w:rStyle w:val="InternetLink"/>
            <w:rFonts w:ascii="Times New Roman" w:hAnsi="Times New Roman"/>
            <w:color w:val="0000FF"/>
            <w:sz w:val="22"/>
            <w:u w:val="single"/>
          </w:rPr>
          <w:t>Form 10-K</w:t>
        </w:r>
      </w:hyperlink>
      <w:r>
        <w:rPr>
          <w:color w:val="000000"/>
        </w:rPr>
        <w:t xml:space="preserve"> </w:t>
      </w:r>
      <w:r>
        <w:rPr>
          <w:rFonts w:ascii="Times New Roman" w:hAnsi="Times New Roman"/>
          <w:color w:val="000000"/>
          <w:sz w:val="22"/>
        </w:rPr>
        <w:t>for the fiscal year ended December 31, 2025, including any amendments or reports filed for the purpose of updating such description.</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We will provide, without charge, to each person to whom a copy of this prospectus is delivered, upon written or oral request, a copy of any or all of the documents incorporated by reference into this prospectus (other than exhibits, unless those exhibits are specifically incorporated by reference). Requests should be directed to Decoy Therapeutics Inc., 2450 Holcombe Blvd., Suite X, Houston, TX 77021, Attn: Corporate Secretary, (713) 913-5608.</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2552700"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552700" cy="895350"/>
                    </a:xfrm>
                    <a:prstGeom prst="rect">
                      <a:avLst/>
                    </a:prstGeom>
                  </pic:spPr>
                </pic:pic>
              </a:graphicData>
            </a:graphic>
          </wp:inline>
        </w:drawing>
      </w:r>
    </w:p>
    <w:p>
      <w:pPr>
        <w:pStyle w:val="TextBody"/>
        <w:bidi w:val="0"/>
        <w:jc w:val="center"/>
        <w:rPr/>
      </w:pPr>
      <w:r>
        <w:rPr/>
        <w:t> </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Up to 3,766,500 Shares of Common Stock</w:t>
      </w:r>
    </w:p>
    <w:p>
      <w:pPr>
        <w:pStyle w:val="TextBody"/>
        <w:bidi w:val="0"/>
        <w:spacing w:before="600" w:after="283"/>
        <w:jc w:val="center"/>
        <w:rPr>
          <w:rFonts w:ascii="Times New Roman" w:hAnsi="Times New Roman"/>
          <w:b/>
          <w:color w:val="000000"/>
          <w:sz w:val="22"/>
        </w:rPr>
      </w:pPr>
      <w:r>
        <w:rPr>
          <w:rFonts w:ascii="Times New Roman" w:hAnsi="Times New Roman"/>
          <w:b/>
          <w:color w:val="000000"/>
          <w:sz w:val="22"/>
        </w:rPr>
        <w:t>Preliminary Prospectus</w:t>
      </w:r>
    </w:p>
    <w:p>
      <w:pPr>
        <w:pStyle w:val="TextBody"/>
        <w:bidi w:val="0"/>
        <w:spacing w:before="400" w:after="283"/>
        <w:jc w:val="center"/>
        <w:rPr>
          <w:rFonts w:ascii="Times New Roman" w:hAnsi="Times New Roman"/>
          <w:b/>
          <w:color w:val="000000"/>
          <w:sz w:val="22"/>
        </w:rPr>
      </w:pPr>
      <w:r>
        <w:rPr>
          <w:rFonts w:ascii="Times New Roman" w:hAnsi="Times New Roman"/>
          <w:b/>
          <w:color w:val="000000"/>
          <w:sz w:val="22"/>
        </w:rPr>
        <w:t>,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PART II</w:t>
      </w:r>
    </w:p>
    <w:p>
      <w:pPr>
        <w:pStyle w:val="TextBody"/>
        <w:bidi w:val="0"/>
        <w:spacing w:before="200" w:after="283"/>
        <w:jc w:val="center"/>
        <w:rPr>
          <w:rFonts w:ascii="Times New Roman" w:hAnsi="Times New Roman"/>
          <w:b/>
          <w:color w:val="000000"/>
          <w:sz w:val="22"/>
        </w:rPr>
      </w:pPr>
      <w:r>
        <w:rPr>
          <w:rFonts w:ascii="Times New Roman" w:hAnsi="Times New Roman"/>
          <w:b/>
          <w:color w:val="000000"/>
          <w:sz w:val="22"/>
        </w:rPr>
        <w:t>INFORMATION NOT REQUIRED IN PROSPECTUS</w:t>
      </w:r>
    </w:p>
    <w:p>
      <w:pPr>
        <w:pStyle w:val="Heading2"/>
        <w:bidi w:val="0"/>
        <w:spacing w:before="200" w:after="283"/>
        <w:jc w:val="left"/>
        <w:rPr>
          <w:rFonts w:ascii="Times New Roman" w:hAnsi="Times New Roman"/>
          <w:color w:val="000000"/>
          <w:sz w:val="22"/>
        </w:rPr>
      </w:pPr>
      <w:r>
        <w:rPr>
          <w:rFonts w:ascii="Times New Roman" w:hAnsi="Times New Roman"/>
          <w:color w:val="000000"/>
          <w:sz w:val="22"/>
        </w:rPr>
        <w:t>Item 13. Other Expenses of Issuance and Distribution</w:t>
      </w:r>
    </w:p>
    <w:p>
      <w:pPr>
        <w:pStyle w:val="TextBody"/>
        <w:bidi w:val="0"/>
        <w:spacing w:before="200" w:after="283"/>
        <w:jc w:val="left"/>
        <w:rPr>
          <w:rFonts w:ascii="Times New Roman" w:hAnsi="Times New Roman"/>
          <w:sz w:val="20"/>
        </w:rPr>
      </w:pPr>
      <w:r>
        <w:rPr>
          <w:rFonts w:ascii="Times New Roman" w:hAnsi="Times New Roman"/>
          <w:color w:val="000000"/>
          <w:sz w:val="22"/>
        </w:rPr>
        <w:t>The following table sets forth the fees and expenses in connection with the issuance and distribution of the securities being registered (other than underwriting discount and commissions). Except for the SEC registration fee, all amounts are estimates.</w:t>
      </w:r>
      <w:r>
        <w:rPr>
          <w:rFonts w:ascii="Times New Roman" w:hAnsi="Times New Roman"/>
          <w:color w:val="000000"/>
          <w:sz w:val="20"/>
        </w:rPr>
        <w:t xml:space="preserve"> </w:t>
      </w:r>
    </w:p>
    <w:p>
      <w:pPr>
        <w:pStyle w:val="TextBody"/>
        <w:bidi w:val="0"/>
        <w:jc w:val="left"/>
        <w:rPr/>
      </w:pPr>
      <w:r>
        <w:rPr/>
        <w:t> </w:t>
      </w:r>
    </w:p>
    <w:tbl>
      <w:tblPr>
        <w:tblW w:w="4008" w:type="dxa"/>
        <w:jc w:val="left"/>
        <w:tblInd w:w="0" w:type="dxa"/>
        <w:tblLayout w:type="fixed"/>
        <w:tblCellMar>
          <w:top w:w="28" w:type="dxa"/>
          <w:left w:w="28" w:type="dxa"/>
          <w:bottom w:w="28" w:type="dxa"/>
          <w:right w:w="28" w:type="dxa"/>
        </w:tblCellMar>
      </w:tblPr>
      <w:tblGrid>
        <w:gridCol w:w="2971"/>
        <w:gridCol w:w="226"/>
        <w:gridCol w:w="811"/>
      </w:tblGrid>
      <w:tr>
        <w:trPr/>
        <w:tc>
          <w:tcPr>
            <w:tcW w:w="29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 registration fee</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3,854</w:t>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Legal fees and expenses</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30,000</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Accounting fees and expenses</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12,500</w:t>
            </w:r>
          </w:p>
        </w:tc>
      </w:tr>
      <w:tr>
        <w:trPr/>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Miscellaneous expenses</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5,000</w:t>
            </w:r>
          </w:p>
        </w:tc>
      </w:tr>
      <w:tr>
        <w:trPr/>
        <w:tc>
          <w:tcPr>
            <w:tcW w:w="29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Total</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8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51,254</w:t>
            </w:r>
          </w:p>
        </w:tc>
      </w:tr>
    </w:tbl>
    <w:p>
      <w:pPr>
        <w:pStyle w:val="Heading2"/>
        <w:bidi w:val="0"/>
        <w:jc w:val="left"/>
        <w:rPr/>
      </w:pPr>
      <w:r>
        <w:rPr/>
        <w:t> </w:t>
      </w:r>
    </w:p>
    <w:p>
      <w:pPr>
        <w:pStyle w:val="Heading2"/>
        <w:bidi w:val="0"/>
        <w:spacing w:before="80" w:after="283"/>
        <w:jc w:val="left"/>
        <w:rPr>
          <w:rFonts w:ascii="Times New Roman" w:hAnsi="Times New Roman"/>
          <w:color w:val="000000"/>
          <w:sz w:val="22"/>
        </w:rPr>
      </w:pPr>
      <w:r>
        <w:rPr>
          <w:rFonts w:ascii="Times New Roman" w:hAnsi="Times New Roman"/>
          <w:color w:val="000000"/>
          <w:sz w:val="22"/>
        </w:rPr>
        <w:t>Item 14. Indemnification of Directors and Officers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Section 102 of the Delaware General Corporation Law (the “DGCL”) permits a corporation to eliminate the personal liability of its directors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that no director shall be personally liable to the Registrant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indemnification for such expenses which the Court of Chancery or such other court shall deem proper.</w:t>
      </w:r>
    </w:p>
    <w:p>
      <w:pPr>
        <w:pStyle w:val="TextBody"/>
        <w:bidi w:val="0"/>
        <w:spacing w:before="160" w:after="283"/>
        <w:jc w:val="left"/>
        <w:rPr>
          <w:rFonts w:ascii="Times New Roman" w:hAnsi="Times New Roman"/>
          <w:sz w:val="20"/>
        </w:rPr>
      </w:pPr>
      <w:r>
        <w:rPr>
          <w:rFonts w:ascii="Times New Roman" w:hAnsi="Times New Roman"/>
          <w:color w:val="000000"/>
          <w:sz w:val="22"/>
        </w:rPr>
        <w:t>The Registrant’s Amended and Restated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such indemnitee acted in good faith and in a manner he or she reasonably believed to be in, or not opposed to, the Registrant's best interests, and, with respect to any criminal action or proceeding, he or she had no reasonable cause to believe his or her conduct was unlawful.</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Registrant’s Amended and Restated Certificate of Incorporation also provides that the Registrant will indemnify any Indemnitee who was or is a party to an action or suit by or in the right of the Registrant to procure a judgment in the Registrant’s favor by reason of the fact that the Indemnitee is or was, or has agreed to become, the Registrant’s director or officer, or is or was serving, or has agreed to serve, at the Registrant’s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Registrant against all expenses (including attorneys' fees) actually and reasonably incurred by him or her or on his or her behalf in connection therewith. If the Registrant does not assume the defense, expenses must be advanced to an Indemnitee under certain circumstances.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Registrant maintains a general liability insurance policy that covers certain liabilities of the Registrant's directors and officers arising out of claims based on acts or omissions in their capacities as directors or officers.</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Insofar as the foregoing provisions permit indemnification of directors, executive officers, or persons controlling the Registrant for liability arising under the Securities Act, the Registrant has been informed that, in the opinion of the SEC, such indemnification is against public policy as expressed in the Securities Act and is therefore unenforceable.</w:t>
      </w:r>
    </w:p>
    <w:p>
      <w:pPr>
        <w:pStyle w:val="Heading2"/>
        <w:bidi w:val="0"/>
        <w:spacing w:before="200" w:after="283"/>
        <w:jc w:val="left"/>
        <w:rPr>
          <w:rFonts w:ascii="Times New Roman" w:hAnsi="Times New Roman"/>
          <w:color w:val="000000"/>
          <w:sz w:val="22"/>
        </w:rPr>
      </w:pPr>
      <w:r>
        <w:rPr>
          <w:rFonts w:ascii="Times New Roman" w:hAnsi="Times New Roman"/>
          <w:color w:val="000000"/>
          <w:sz w:val="22"/>
        </w:rPr>
        <w:t>Item 15. Recent Sales of Unregistered Securities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following sets forth information regarding all securities sold or issued by the Registrant within the past three years that were not registered under the Securities Act. Unless otherwise indicated, the offers, sales and issuances described below were made in reliance on the exemption from registration provided by Section 4(a)(2) of the Securities Act, and/or Regulation D promulgated thereunder, as transactions by an issuer not involving any public offering, and no underwriting discounts or commissions were paid in connection therewith. Share and per share amounts give effect to the Reverse Stock Splits, except as noted.</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On November 12, 2025, in connection with the closing of the Merger, the Registrant issued 877.709 shares of Series A Non-Voting Convertible Preferred Stock and 796.306 shares of Series B Non-Voting Convertible Preferred Stock to former stockholders and debtholders of Legacy Decoy as merger consideration, and reserved 45.098 shares of Series A Preferred Stock for assumed in-the-money options and warrants of Legacy Decoy. These securities were issued in reliance on Section 4(a)(2) of the Securities Act and Regulation D thereunder.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The Registrant issued and sold to C/M Capital Master Fund, LP an aggregate of 37,035 Purchase Shares and 370 related Commitment Shares (in each case as adjusted for the Reverse Stock Splits), at a weighted-average price of approximately $128.76 per share, for aggregate gross proceeds of approximately $4.8 million through June 9, 2026, in private placements under the Purchase Agreement in reliance on Section 4(a)(2) of the Securities Act. The Commitment Shares were issued as consideration for C/M Capital Master Fund, LP’s execution and delivery of the Purchase Agreement, in an amount equal to 1% of the Purchase Shares sold.</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On November 12, 2025, in connection with the Registrant’s November 2025 underwritten public offering, the Registrant issued to the representative of the underwriter warrants to purchase up to 22,361 shares of common stock at an exercise price of $27.90 per share. These warrants were issued in reliance on Section 4(a)(2) of the Securities Act.</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On June 29, 2026, pursuant to a securities purchase agreement dated June 26, 2026, the Registrant issued to an institutional investor, in a private placement, (i) pre-funded warrants to purchase up to 592,217 shares of common stock at an exercise price of $0.0001 per share and (ii) milestone-based Series A, Series B and Series C common warrants to purchase up to an aggregate of 2,961,085 shares of common stock at an exercise price of $5.91 per share, for aggregate gross proceeds at the closing of approximately $3.5 million. In connection with the private placement, the Registrant issued to Curvature Securities, LLC, the placement agent, and its designee, warrants to purchase up to an aggregate of 213,198 shares of common stock at an exercise price of $7.3875 per share. These securities were issued in reliance on Section 4(a)(2) of the Securities Act and/or Regulation D promulgated thereunder. The resale of the shares of common stock issuable upon exercise of these warrants is being registered pursuant to this registration statement.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00" w:after="283"/>
        <w:jc w:val="left"/>
        <w:rPr>
          <w:rFonts w:ascii="Times New Roman" w:hAnsi="Times New Roman"/>
          <w:color w:val="000000"/>
          <w:sz w:val="22"/>
        </w:rPr>
      </w:pPr>
      <w:r>
        <w:rPr>
          <w:rFonts w:ascii="Times New Roman" w:hAnsi="Times New Roman"/>
          <w:color w:val="000000"/>
          <w:sz w:val="22"/>
        </w:rPr>
        <w:t>Item 16. Exhibits and Financial Statement Schedules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exhibits to this registration statement are listed in the Exhibit Index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0"/>
        <w:gridCol w:w="9125"/>
      </w:tblGrid>
      <w:tr>
        <w:trPr/>
        <w:tc>
          <w:tcPr>
            <w:tcW w:w="1080" w:type="dxa"/>
            <w:tcBorders/>
            <w:vAlign w:val="center"/>
          </w:tcPr>
          <w:p>
            <w:pPr>
              <w:pStyle w:val="TableContents"/>
              <w:bidi w:val="0"/>
              <w:spacing w:before="0" w:after="283"/>
              <w:jc w:val="left"/>
              <w:rPr>
                <w:sz w:val="4"/>
                <w:szCs w:val="4"/>
              </w:rPr>
            </w:pPr>
            <w:r>
              <w:rPr>
                <w:sz w:val="4"/>
                <w:szCs w:val="4"/>
              </w:rPr>
            </w:r>
          </w:p>
        </w:tc>
        <w:tc>
          <w:tcPr>
            <w:tcW w:w="912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b/>
                <w:color w:val="000000"/>
                <w:sz w:val="22"/>
              </w:rPr>
            </w:pPr>
            <w:r>
              <w:rPr>
                <w:rFonts w:ascii="Times New Roman" w:hAnsi="Times New Roman"/>
                <w:b/>
                <w:color w:val="000000"/>
                <w:sz w:val="22"/>
              </w:rPr>
              <w:t>Exhibit No.</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b/>
                <w:color w:val="000000"/>
                <w:sz w:val="22"/>
              </w:rPr>
            </w:pPr>
            <w:r>
              <w:rPr>
                <w:rFonts w:ascii="Times New Roman" w:hAnsi="Times New Roman"/>
                <w:b/>
                <w:color w:val="000000"/>
                <w:sz w:val="22"/>
              </w:rPr>
              <w:t>Description</w:t>
            </w:r>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18">
              <w:r>
                <w:rPr>
                  <w:rStyle w:val="InternetLink"/>
                  <w:rFonts w:ascii="Times New Roman" w:hAnsi="Times New Roman"/>
                  <w:color w:val="0000FF"/>
                  <w:sz w:val="22"/>
                  <w:u w:val="single"/>
                </w:rPr>
                <w:t>Amended and Restated Certificate of Incorporation (incorporated herein by reference to Exhibit 3.1 to our Current Report on Form 8-K filed with the Commission on February 9, 2015).</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3.2</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19">
              <w:r>
                <w:rPr>
                  <w:rStyle w:val="InternetLink"/>
                  <w:rFonts w:ascii="Times New Roman" w:hAnsi="Times New Roman"/>
                  <w:color w:val="0000FF"/>
                  <w:sz w:val="22"/>
                  <w:u w:val="single"/>
                </w:rPr>
                <w:t>Certificate of Amendment to Amended and Restated Certificate of Incorporation of the Registrant filed with the Secretary of State of the State of Delaware on July 18, 2019 (incorporated by reference to Exhibit 3.1 to the Registrant’s Current Report on Form 8-K filed with the SEC on July 22, 2019).</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3.3</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0">
              <w:r>
                <w:rPr>
                  <w:rStyle w:val="InternetLink"/>
                  <w:rFonts w:ascii="Times New Roman" w:hAnsi="Times New Roman"/>
                  <w:color w:val="0000FF"/>
                  <w:sz w:val="22"/>
                  <w:u w:val="single"/>
                </w:rPr>
                <w:t>Certificate of Amendment to Restated Certificate of Incorporation of the Registrant filed with the Secretary of State of the State of Delaware on October 14, 2022 (incorporated by reference to Exhibit 3.1 to the Registrant’s Current Report on Form 8-K filed with the SEC on October 14, 2022).</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3.4</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1">
              <w:r>
                <w:rPr>
                  <w:rStyle w:val="InternetLink"/>
                  <w:rFonts w:ascii="Times New Roman" w:hAnsi="Times New Roman"/>
                  <w:color w:val="0000FF"/>
                  <w:sz w:val="22"/>
                  <w:u w:val="single"/>
                </w:rPr>
                <w:t>Certificate of Amendment to Amended and Restated Certificate of Incorporation of the Registrant filed with the Secretary of State of the State of Delaware on June 14, 2024 (incorporated by reference to Exhibit 3.1 to the Registrant’s Current Report on Form 8-K filed with the SEC on June 14, 2024).</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3.5</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2">
              <w:r>
                <w:rPr>
                  <w:rStyle w:val="InternetLink"/>
                  <w:rFonts w:ascii="Times New Roman" w:hAnsi="Times New Roman"/>
                  <w:color w:val="0000FF"/>
                  <w:sz w:val="22"/>
                  <w:u w:val="single"/>
                </w:rPr>
                <w:t>Certificate of Amendment to the Amended and Restated Certificate of Incorporation of Salarius Pharmaceuticals, Inc., effective August 15, 2025 (incorporated by reference to Exhibit 3.1 to the Registrant’s Current Report on Form 8-K filed with the SEC on August 15, 2025).</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3.6</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3">
              <w:r>
                <w:rPr>
                  <w:rStyle w:val="InternetLink"/>
                  <w:rFonts w:ascii="Times New Roman" w:hAnsi="Times New Roman"/>
                  <w:color w:val="0000FF"/>
                  <w:sz w:val="22"/>
                  <w:u w:val="single"/>
                </w:rPr>
                <w:t>Certificate of Amendment to the Amended and Restated Certificate of Incorporation of Salarius Pharmaceuticals, Inc., effective January 8, 2026 (incorporated by reference to Exhibit 3.1 to the Registrant’s Current Report on Form 8-K filed with the SEC on January 8, 2026).</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3.7</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4">
              <w:r>
                <w:rPr>
                  <w:rStyle w:val="InternetLink"/>
                  <w:rFonts w:ascii="Times New Roman" w:hAnsi="Times New Roman"/>
                  <w:color w:val="0000FF"/>
                  <w:sz w:val="22"/>
                  <w:u w:val="single"/>
                </w:rPr>
                <w:t>Certificate of Amendment to the Amended and Restated Certificate of Incorporation of Decoy Therapeutics Inc. effective March 6, 2026 (incorporated by reference to Exhibit 3.1 to the Registrant’s Current Report on Form 8-K filed with the SEC on March 5, 2026).</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3.8</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5">
              <w:r>
                <w:rPr>
                  <w:rStyle w:val="InternetLink"/>
                  <w:rFonts w:ascii="Times New Roman" w:hAnsi="Times New Roman"/>
                  <w:color w:val="0000FF"/>
                  <w:sz w:val="22"/>
                  <w:u w:val="single"/>
                </w:rPr>
                <w:t>Amended and Restated Bylaws of the Registrant, effective July 19, 2019 (incorporated by reference to Exhibit 3.2 to the Registrant’s Current Report on Form 8-K filed with the SEC on July 22, 2019).</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3.9</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6">
              <w:r>
                <w:rPr>
                  <w:rStyle w:val="InternetLink"/>
                  <w:rFonts w:ascii="Times New Roman" w:hAnsi="Times New Roman"/>
                  <w:color w:val="0000FF"/>
                  <w:sz w:val="22"/>
                  <w:u w:val="single"/>
                </w:rPr>
                <w:t>Amendment to the Amended and Restated Bylaws of the Registrant, effective April 1, 2022 (incorporated by reference to Exhibit 3.1 to the Registrant’s Current Report on Form 8-K filed with the SEC on April 1, 2022).</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3.10</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7">
              <w:r>
                <w:rPr>
                  <w:rStyle w:val="InternetLink"/>
                  <w:rFonts w:ascii="Times New Roman" w:hAnsi="Times New Roman"/>
                  <w:color w:val="0000FF"/>
                  <w:sz w:val="22"/>
                  <w:u w:val="single"/>
                </w:rPr>
                <w:t>Second Amended and Restated Bylaws of the Registrant, effective January 8, 2026 (incorporated by reference to Exhibit 3.2 to the Registrant’s Current Report on Form 8-K filed with the SEC on January 8, 2026).</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3.11</w:t>
            </w:r>
          </w:p>
        </w:tc>
        <w:tc>
          <w:tcPr>
            <w:tcW w:w="9125"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28">
              <w:r>
                <w:rPr>
                  <w:rStyle w:val="InternetLink"/>
                  <w:rFonts w:ascii="Times New Roman" w:hAnsi="Times New Roman"/>
                  <w:color w:val="0000FF"/>
                  <w:sz w:val="22"/>
                  <w:u w:val="single"/>
                </w:rPr>
                <w:t>Form of Certificate of Designation of Series A Non-Voting Convertible Preferred Stock (incorporated by reference to Exhibit 2.2 to the Registrant’s Current Report on Form 8-K filed with the SEC on September 18, 2025).</w:t>
              </w:r>
            </w:hyperlink>
          </w:p>
        </w:tc>
      </w:tr>
      <w:tr>
        <w:trPr/>
        <w:tc>
          <w:tcPr>
            <w:tcW w:w="1080"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3.13</w:t>
            </w:r>
          </w:p>
        </w:tc>
        <w:tc>
          <w:tcPr>
            <w:tcW w:w="9125" w:type="dxa"/>
            <w:tcBorders/>
            <w:tcMar>
              <w:top w:w="0" w:type="dxa"/>
              <w:left w:w="0" w:type="dxa"/>
              <w:bottom w:w="0" w:type="dxa"/>
              <w:right w:w="0" w:type="dxa"/>
            </w:tcMar>
            <w:vAlign w:val="center"/>
          </w:tcPr>
          <w:p>
            <w:pPr>
              <w:pStyle w:val="TableContents"/>
              <w:bidi w:val="0"/>
              <w:spacing w:before="40" w:after="40"/>
              <w:jc w:val="left"/>
              <w:rPr/>
            </w:pPr>
            <w:hyperlink r:id="rId29">
              <w:r>
                <w:rPr>
                  <w:rStyle w:val="InternetLink"/>
                  <w:rFonts w:ascii="Times New Roman" w:hAnsi="Times New Roman"/>
                  <w:color w:val="0000FF"/>
                  <w:sz w:val="22"/>
                  <w:u w:val="single"/>
                </w:rPr>
                <w:t>Form of Certificate of Designation of Series B Non-Voting Convertible Preferred Stock (incorporated by reference to Exhibit 2.3 to the Registrant’s Current Report on Form 8-K filed with the SEC on September 18, 2025).</w:t>
              </w:r>
            </w:hyperlink>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
        <w:gridCol w:w="9483"/>
      </w:tblGrid>
      <w:tr>
        <w:trPr/>
        <w:tc>
          <w:tcPr>
            <w:tcW w:w="722" w:type="dxa"/>
            <w:tcBorders/>
            <w:vAlign w:val="center"/>
          </w:tcPr>
          <w:p>
            <w:pPr>
              <w:pStyle w:val="TableContents"/>
              <w:bidi w:val="0"/>
              <w:spacing w:before="0" w:after="283"/>
              <w:jc w:val="left"/>
              <w:rPr>
                <w:sz w:val="4"/>
                <w:szCs w:val="4"/>
              </w:rPr>
            </w:pPr>
            <w:r>
              <w:rPr>
                <w:sz w:val="4"/>
                <w:szCs w:val="4"/>
              </w:rPr>
            </w:r>
          </w:p>
        </w:tc>
        <w:tc>
          <w:tcPr>
            <w:tcW w:w="9483"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4.1</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0">
              <w:r>
                <w:rPr>
                  <w:rStyle w:val="InternetLink"/>
                  <w:rFonts w:ascii="Times New Roman" w:hAnsi="Times New Roman"/>
                  <w:color w:val="0000FF"/>
                  <w:sz w:val="22"/>
                  <w:u w:val="single"/>
                </w:rPr>
                <w:t>Form of Common Stock Certificate of Registrant (incorporated by reference to Exhibit 4.1 to the Registrant’s registration statement on Form S-1 (File No. 333-201276), as amended, filed January 13, 2015).</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4.2</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1">
              <w:r>
                <w:rPr>
                  <w:rStyle w:val="InternetLink"/>
                  <w:rFonts w:ascii="Times New Roman" w:hAnsi="Times New Roman"/>
                  <w:color w:val="0000FF"/>
                  <w:sz w:val="22"/>
                  <w:u w:val="single"/>
                </w:rPr>
                <w:t>Form of Pre-Funded Warrant (incorporated by reference to Exhibit 4.1 to the Registrant’s Current Report on Form 8-K filed with the SEC on June 29, 2026).</w:t>
              </w:r>
            </w:hyperlink>
            <w:hyperlink r:id="rId32">
              <w:r>
                <w:rPr>
                  <w:rStyle w:val="InternetLink"/>
                  <w:rFonts w:ascii="Times New Roman" w:hAnsi="Times New Roman"/>
                  <w:color w:val="0000FF"/>
                  <w:sz w:val="22"/>
                </w:rPr>
                <w:t xml:space="preserve"> </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4.3</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3">
              <w:r>
                <w:rPr>
                  <w:rStyle w:val="InternetLink"/>
                  <w:rFonts w:ascii="Times New Roman" w:hAnsi="Times New Roman"/>
                  <w:color w:val="0000FF"/>
                  <w:sz w:val="22"/>
                  <w:u w:val="single"/>
                </w:rPr>
                <w:t>Form of Series A Common Warrant (incorporated by reference to Exhibit 4.2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4.4</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4">
              <w:r>
                <w:rPr>
                  <w:rStyle w:val="InternetLink"/>
                  <w:rFonts w:ascii="Times New Roman" w:hAnsi="Times New Roman"/>
                  <w:color w:val="0000FF"/>
                  <w:sz w:val="22"/>
                  <w:u w:val="single"/>
                </w:rPr>
                <w:t>Form of Series B Common Warrant (incorporated by reference to Exhibit 4.3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4.5</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5">
              <w:r>
                <w:rPr>
                  <w:rStyle w:val="InternetLink"/>
                  <w:rFonts w:ascii="Times New Roman" w:hAnsi="Times New Roman"/>
                  <w:color w:val="0000FF"/>
                  <w:sz w:val="22"/>
                  <w:u w:val="single"/>
                </w:rPr>
                <w:t>Form of Series C Common Warrant (incorporated by reference to Exhibit 4.4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4.6</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6">
              <w:r>
                <w:rPr>
                  <w:rStyle w:val="InternetLink"/>
                  <w:rFonts w:ascii="Times New Roman" w:hAnsi="Times New Roman"/>
                  <w:color w:val="0000FF"/>
                  <w:sz w:val="22"/>
                  <w:u w:val="single"/>
                </w:rPr>
                <w:t>Form of Placement Agent Warrant (incorporated by reference to Exhibit 4.5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5.1*</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w:anchor="dcoy-ex5_1.htm">
              <w:r>
                <w:rPr>
                  <w:rStyle w:val="InternetLink"/>
                  <w:rFonts w:ascii="Times New Roman" w:hAnsi="Times New Roman"/>
                  <w:color w:val="0000FF"/>
                  <w:sz w:val="22"/>
                  <w:u w:val="single"/>
                </w:rPr>
                <w:t>Opinion of Honigman LLP.</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10.1</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7">
              <w:r>
                <w:rPr>
                  <w:rStyle w:val="InternetLink"/>
                  <w:rFonts w:ascii="Times New Roman" w:hAnsi="Times New Roman"/>
                  <w:color w:val="0000FF"/>
                  <w:sz w:val="22"/>
                  <w:u w:val="single"/>
                </w:rPr>
                <w:t>Securities Purchase Agreement, dated December 12, 2024, by and between Salarius Pharmaceuticals, Inc. and C/M Capital Master Fund, LP. (incorporated by reference to Exhibit 10.1 to the Registrant’s Current Report on Form 8-K filed with the SEC on December 13, 2024).</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10.2</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8">
              <w:r>
                <w:rPr>
                  <w:rStyle w:val="InternetLink"/>
                  <w:rFonts w:ascii="Times New Roman" w:hAnsi="Times New Roman"/>
                  <w:color w:val="0000FF"/>
                  <w:sz w:val="22"/>
                  <w:u w:val="single"/>
                </w:rPr>
                <w:t>Registration Rights Agreement, dated December 12, 2024, by and between Salarius Pharmaceuticals, Inc. and C/M Capital Master Fund, LP (incorporated by reference to Exhibit 10.2 to the Registrant’s Current Report on Form 8-K filed with the SEC on December 13, 2024).</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10.3</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39">
              <w:r>
                <w:rPr>
                  <w:rStyle w:val="InternetLink"/>
                  <w:rFonts w:ascii="Times New Roman" w:hAnsi="Times New Roman"/>
                  <w:color w:val="0000FF"/>
                  <w:sz w:val="22"/>
                  <w:u w:val="single"/>
                </w:rPr>
                <w:t>Securities Purchase Agreement, dated June 26, 2026, by and between the Company and the Purchaser (incorporated by reference to Exhibit 10.1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10.4</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40">
              <w:r>
                <w:rPr>
                  <w:rStyle w:val="InternetLink"/>
                  <w:rFonts w:ascii="Times New Roman" w:hAnsi="Times New Roman"/>
                  <w:color w:val="0000FF"/>
                  <w:sz w:val="22"/>
                  <w:u w:val="single"/>
                </w:rPr>
                <w:t>Registration Rights Agreement, dated June 26, 2026, by and between the Company and the Purchaser (incorporated by reference to Exhibit 10.2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10.5</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41">
              <w:r>
                <w:rPr>
                  <w:rStyle w:val="InternetLink"/>
                  <w:rFonts w:ascii="Times New Roman" w:hAnsi="Times New Roman"/>
                  <w:color w:val="0000FF"/>
                  <w:sz w:val="22"/>
                  <w:u w:val="single"/>
                </w:rPr>
                <w:t>Form of Lock-Up Agreement (incorporated by reference to Exhibit 10.3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10.6</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r:id="rId42">
              <w:r>
                <w:rPr>
                  <w:rStyle w:val="InternetLink"/>
                  <w:rFonts w:ascii="Times New Roman" w:hAnsi="Times New Roman"/>
                  <w:color w:val="0000FF"/>
                  <w:sz w:val="22"/>
                  <w:u w:val="single"/>
                </w:rPr>
                <w:t>Placement Agency Agreement, dated June 26, 2026, by and between the Company and Curvature Securities, LLC (incorporated by reference to Exhibit 10.4 to the Registrant’s Current Report on Form 8-K filed with the SEC on June 29, 2026).</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23.1*</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w:anchor="dcoy-ex23_1.htm">
              <w:r>
                <w:rPr>
                  <w:rStyle w:val="InternetLink"/>
                  <w:rFonts w:ascii="Times New Roman" w:hAnsi="Times New Roman"/>
                  <w:color w:val="0000FF"/>
                  <w:sz w:val="22"/>
                  <w:u w:val="single"/>
                </w:rPr>
                <w:t>Consent of Ernst &amp; Young LLP, independent registered public accounting firm</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23.2*</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w:anchor="dcoy-ex5_1.htm">
              <w:r>
                <w:rPr>
                  <w:rStyle w:val="InternetLink"/>
                  <w:rFonts w:ascii="Times New Roman" w:hAnsi="Times New Roman"/>
                  <w:color w:val="0000FF"/>
                  <w:sz w:val="22"/>
                  <w:u w:val="single"/>
                </w:rPr>
                <w:t>Consent of Honigman LLP (included in Exhibit 5.1).</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24.1*</w:t>
            </w:r>
          </w:p>
        </w:tc>
        <w:tc>
          <w:tcPr>
            <w:tcW w:w="9483" w:type="dxa"/>
            <w:tcBorders/>
            <w:tcMar>
              <w:top w:w="0" w:type="dxa"/>
              <w:left w:w="0" w:type="dxa"/>
              <w:bottom w:w="0" w:type="dxa"/>
              <w:right w:w="0" w:type="dxa"/>
            </w:tcMar>
            <w:vAlign w:val="center"/>
          </w:tcPr>
          <w:p>
            <w:pPr>
              <w:pStyle w:val="TableContents"/>
              <w:bidi w:val="0"/>
              <w:spacing w:before="40" w:after="40"/>
              <w:ind w:left="0" w:right="0" w:firstLine="144"/>
              <w:jc w:val="left"/>
              <w:rPr/>
            </w:pPr>
            <w:hyperlink w:anchor="power_of_attorney">
              <w:r>
                <w:rPr>
                  <w:rStyle w:val="InternetLink"/>
                  <w:rFonts w:ascii="Times New Roman" w:hAnsi="Times New Roman"/>
                  <w:color w:val="0000FF"/>
                  <w:sz w:val="22"/>
                  <w:u w:val="single"/>
                </w:rPr>
                <w:t>Power of Attorney (included on the signature page hereto).</w:t>
              </w:r>
            </w:hyperlink>
          </w:p>
        </w:tc>
      </w:tr>
      <w:tr>
        <w:trPr/>
        <w:tc>
          <w:tcPr>
            <w:tcW w:w="722" w:type="dxa"/>
            <w:tcBorders/>
            <w:tcMar>
              <w:top w:w="0" w:type="dxa"/>
              <w:left w:w="0" w:type="dxa"/>
              <w:bottom w:w="0" w:type="dxa"/>
              <w:right w:w="0" w:type="dxa"/>
            </w:tcMar>
            <w:vAlign w:val="center"/>
          </w:tcPr>
          <w:p>
            <w:pPr>
              <w:pStyle w:val="TableContents"/>
              <w:bidi w:val="0"/>
              <w:spacing w:before="40" w:after="40"/>
              <w:ind w:left="0" w:right="0" w:firstLine="144"/>
              <w:jc w:val="left"/>
              <w:rPr>
                <w:rFonts w:ascii="Times New Roman" w:hAnsi="Times New Roman"/>
                <w:color w:val="000000"/>
                <w:sz w:val="22"/>
              </w:rPr>
            </w:pPr>
            <w:r>
              <w:rPr>
                <w:rFonts w:ascii="Times New Roman" w:hAnsi="Times New Roman"/>
                <w:color w:val="000000"/>
                <w:sz w:val="22"/>
              </w:rPr>
              <w:t>107*</w:t>
            </w:r>
          </w:p>
        </w:tc>
        <w:tc>
          <w:tcPr>
            <w:tcW w:w="9483" w:type="dxa"/>
            <w:tcBorders/>
            <w:tcMar>
              <w:top w:w="0" w:type="dxa"/>
              <w:left w:w="0" w:type="dxa"/>
              <w:bottom w:w="0" w:type="dxa"/>
              <w:right w:w="0" w:type="dxa"/>
            </w:tcMar>
            <w:vAlign w:val="center"/>
          </w:tcPr>
          <w:p>
            <w:pPr>
              <w:pStyle w:val="TableContents"/>
              <w:bidi w:val="0"/>
              <w:spacing w:before="40" w:after="40"/>
              <w:jc w:val="left"/>
              <w:rPr/>
            </w:pPr>
            <w:hyperlink w:anchor="dcoy_exfilingfees.htm">
              <w:r>
                <w:rPr>
                  <w:rStyle w:val="InternetLink"/>
                  <w:rFonts w:ascii="Times New Roman" w:hAnsi="Times New Roman"/>
                  <w:color w:val="0000FF"/>
                  <w:sz w:val="22"/>
                  <w:u w:val="single"/>
                </w:rPr>
                <w:t>Filing Fee Table.</w:t>
              </w:r>
            </w:hyperlink>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Filed herewith.</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color w:val="000000"/>
          <w:sz w:val="22"/>
        </w:rPr>
      </w:pPr>
      <w:r>
        <w:rPr>
          <w:rFonts w:ascii="Times New Roman" w:hAnsi="Times New Roman"/>
          <w:color w:val="000000"/>
          <w:sz w:val="22"/>
        </w:rPr>
        <w:t>Item 17. Undertakings</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The undersigned Registrant hereby undertakes: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(1) To file, during any period in which offers or sales are being made, a post-effective amendment to this registration statement: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 To include any prospectus required by Section 10(a)(3) of the Securities Act of 1933;</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(iii) To include any material information with respect to the plan of distribution not previously disclosed in the registration statement or any material change to such information in the registration statement; provided, however,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(3) To remove from registration by means of a post-effective amendment any of the securities being registered which remain unsold at the termination of the offering.</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(4) 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 Any preliminary prospectus or prospectus of the undersigned Registrant relating to the offering required to be filed pursuant to Rule 424;</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 Any free writing prospectus relating to the offering prepared by or on behalf of the undersigned Registrant or used or referred to by the undersigned Registrant;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(iv) Any other communication that is an offer in the offering made by the undersigned Registrant to the purchaser.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(6)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2"/>
        </w:rPr>
      </w:pPr>
      <w:bookmarkStart w:id="23" w:name="signatures"/>
      <w:bookmarkEnd w:id="23"/>
      <w:r>
        <w:rPr>
          <w:rFonts w:ascii="Times New Roman" w:hAnsi="Times New Roman"/>
          <w:b/>
          <w:caps/>
          <w:color w:val="000000"/>
          <w:sz w:val="22"/>
        </w:rPr>
        <w:t>Signatures</w:t>
      </w:r>
    </w:p>
    <w:p>
      <w:pPr>
        <w:pStyle w:val="TextBody"/>
        <w:bidi w:val="0"/>
        <w:spacing w:before="200" w:after="283"/>
        <w:jc w:val="left"/>
        <w:rPr>
          <w:rFonts w:ascii="Times New Roman" w:hAnsi="Times New Roman"/>
          <w:sz w:val="20"/>
        </w:rPr>
      </w:pPr>
      <w:r>
        <w:rPr>
          <w:rFonts w:ascii="Times New Roman" w:hAnsi="Times New Roman"/>
          <w:color w:val="000000"/>
          <w:sz w:val="22"/>
        </w:rPr>
        <w:t>Pursuant to the requirements of the Securities Act of 1933, the Registrant has duly caused this registration statement to be signed on its behalf by the undersigned, thereunto duly authorized, in the City of Houston, State of Texas, on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July, 2026.</w:t>
      </w:r>
    </w:p>
    <w:p>
      <w:pPr>
        <w:pStyle w:val="TextBody"/>
        <w:bidi w:val="0"/>
        <w:jc w:val="left"/>
        <w:rPr/>
      </w:pPr>
      <w:r>
        <w:rPr/>
        <w:t> </w:t>
      </w:r>
    </w:p>
    <w:tbl>
      <w:tblPr>
        <w:tblW w:w="3375" w:type="dxa"/>
        <w:jc w:val="left"/>
        <w:tblInd w:w="0" w:type="dxa"/>
        <w:tblLayout w:type="fixed"/>
        <w:tblCellMar>
          <w:top w:w="28" w:type="dxa"/>
          <w:left w:w="28" w:type="dxa"/>
          <w:bottom w:w="28" w:type="dxa"/>
          <w:right w:w="28" w:type="dxa"/>
        </w:tblCellMar>
      </w:tblPr>
      <w:tblGrid>
        <w:gridCol w:w="554"/>
        <w:gridCol w:w="2821"/>
      </w:tblGrid>
      <w:tr>
        <w:trPr/>
        <w:tc>
          <w:tcPr>
            <w:tcW w:w="554"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DECOY THERAPEUTICS INC.</w:t>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Mark J. Rosenblum</w:t>
            </w:r>
          </w:p>
        </w:tc>
      </w:tr>
      <w:tr>
        <w:trPr/>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Mark J. Rosenblum</w:t>
            </w:r>
          </w:p>
        </w:tc>
      </w:tr>
      <w:tr>
        <w:trPr/>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jc w:val="left"/>
        <w:rPr/>
      </w:pPr>
      <w:r>
        <w:rPr/>
        <w:t> </w:t>
      </w:r>
    </w:p>
    <w:p>
      <w:pPr>
        <w:pStyle w:val="TextBody"/>
        <w:bidi w:val="0"/>
        <w:spacing w:before="80" w:after="283"/>
        <w:jc w:val="center"/>
        <w:rPr>
          <w:rFonts w:ascii="Times New Roman" w:hAnsi="Times New Roman"/>
          <w:b/>
          <w:color w:val="000000"/>
          <w:sz w:val="22"/>
        </w:rPr>
      </w:pPr>
      <w:bookmarkStart w:id="24" w:name="power_of_attorney"/>
      <w:bookmarkEnd w:id="24"/>
      <w:r>
        <w:rPr>
          <w:rFonts w:ascii="Times New Roman" w:hAnsi="Times New Roman"/>
          <w:b/>
          <w:color w:val="000000"/>
          <w:sz w:val="22"/>
        </w:rPr>
        <w:t>POWER OF ATTORNEY</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KNOW ALL PERSONS BY THESE PRESENTS, that each person whose signature appears below constitutes and appoints Frederick E. Pierce and Mark J. Rosenblum,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registration statement relating to the same offering as this registration statement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before="160" w:after="283"/>
        <w:jc w:val="left"/>
        <w:rPr>
          <w:rFonts w:ascii="Times New Roman" w:hAnsi="Times New Roman"/>
          <w:color w:val="000000"/>
          <w:sz w:val="22"/>
        </w:rPr>
      </w:pPr>
      <w:r>
        <w:rPr>
          <w:rFonts w:ascii="Times New Roman" w:hAnsi="Times New Roman"/>
          <w:color w:val="000000"/>
          <w:sz w:val="22"/>
        </w:rPr>
        <w:t>Pursuant to the requirements of the Securities Act of 1933, this registration statement has been signed by the following persons in the capacities and on the dates indicated.</w:t>
      </w:r>
    </w:p>
    <w:p>
      <w:pPr>
        <w:pStyle w:val="TextBody"/>
        <w:bidi w:val="0"/>
        <w:jc w:val="left"/>
        <w:rPr/>
      </w:pPr>
      <w:r>
        <w:rPr/>
        <w:t> </w:t>
      </w:r>
    </w:p>
    <w:tbl>
      <w:tblPr>
        <w:tblW w:w="9753" w:type="dxa"/>
        <w:jc w:val="left"/>
        <w:tblInd w:w="0" w:type="dxa"/>
        <w:tblLayout w:type="fixed"/>
        <w:tblCellMar>
          <w:top w:w="28" w:type="dxa"/>
          <w:left w:w="28" w:type="dxa"/>
          <w:bottom w:w="28" w:type="dxa"/>
          <w:right w:w="28" w:type="dxa"/>
        </w:tblCellMar>
      </w:tblPr>
      <w:tblGrid>
        <w:gridCol w:w="2341"/>
        <w:gridCol w:w="5971"/>
        <w:gridCol w:w="1441"/>
      </w:tblGrid>
      <w:tr>
        <w:trPr/>
        <w:tc>
          <w:tcPr>
            <w:tcW w:w="2341"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Signature</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Title</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Date</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w:t>
            </w:r>
            <w:r>
              <w:rPr>
                <w:rFonts w:ascii="Times New Roman" w:hAnsi="Times New Roman"/>
                <w:color w:val="000000"/>
                <w:sz w:val="22"/>
              </w:rPr>
              <w:t>s/ Frederick E. Pierce</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Chief Executive Officer and Director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10, 2026</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Frederick E. Pierce</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(Principal Executive Officer)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/s/ Mark J. Rosenblum</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Chief Financial Officer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10, 2026</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Mark J. Rosenblum</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2"/>
              </w:rPr>
            </w:pPr>
            <w:r>
              <w:rPr>
                <w:rFonts w:ascii="Times New Roman" w:hAnsi="Times New Roman"/>
                <w:i/>
                <w:color w:val="000000"/>
                <w:sz w:val="22"/>
              </w:rPr>
              <w:t>(Principal Financial Officer and Principal Accounting Officer)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/s/ William K. McVicar</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Chairman of the Board of Directors</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10, 2026</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William K. McVicar</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David J. Arthur</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10, 2026</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David J. Arthur</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Tess Burleson</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10, 2026</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Tess Burleson</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2"/>
              </w:rPr>
              <w:t>/s/ Arnold Hanish</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10, 2026</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Arnold Hanish</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Paul Lammers</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10, 2026</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Paul Lammers</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 Jonathan Lieber</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Director</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July 10, 2026</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Jonathan</w:t>
            </w:r>
            <w:r>
              <w:rPr>
                <w:rFonts w:ascii="Times New Roman" w:hAnsi="Times New Roman"/>
                <w:color w:val="000000"/>
                <w:sz w:val="22"/>
              </w:rPr>
              <w:t xml:space="preserve"> </w:t>
            </w:r>
            <w:r>
              <w:rPr>
                <w:rFonts w:ascii="Times New Roman" w:hAnsi="Times New Roman"/>
                <w:b/>
                <w:color w:val="000000"/>
                <w:sz w:val="22"/>
              </w:rPr>
              <w:t>Lieber</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5" w:name="dcoy-ex5_1.htm"/>
      <w:bookmarkStart w:id="26" w:name="ksdcoyex5_1"/>
      <w:bookmarkStart w:id="27" w:name="dcoy-ex5_1.htm"/>
      <w:bookmarkStart w:id="28" w:name="ksdcoyex5_1"/>
      <w:bookmarkEnd w:id="27"/>
      <w:bookmarkEnd w:id="28"/>
      <w:r>
        <w:br w:type="page"/>
      </w:r>
    </w:p>
    <w:tbl>
      <w:tblPr>
        <w:tblW w:w="4242" w:type="dxa"/>
        <w:jc w:val="left"/>
        <w:tblInd w:w="0" w:type="dxa"/>
        <w:tblLayout w:type="fixed"/>
        <w:tblCellMar>
          <w:top w:w="28" w:type="dxa"/>
          <w:left w:w="28" w:type="dxa"/>
          <w:bottom w:w="28" w:type="dxa"/>
          <w:right w:w="28" w:type="dxa"/>
        </w:tblCellMar>
      </w:tblPr>
      <w:tblGrid>
        <w:gridCol w:w="2816"/>
        <w:gridCol w:w="1426"/>
      </w:tblGrid>
      <w:tr>
        <w:trPr/>
        <w:tc>
          <w:tcPr>
            <w:tcW w:w="28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816" w:type="dxa"/>
            <w:tcBorders>
              <w:top w:val="single" w:sz="8" w:space="0" w:color="000000"/>
              <w:bottom w:val="single" w:sz="8" w:space="0" w:color="000000"/>
            </w:tcBorders>
            <w:tcMar>
              <w:left w:w="0" w:type="dxa"/>
              <w:bottom w:w="160" w:type="dxa"/>
              <w:right w:w="0" w:type="dxa"/>
            </w:tcMar>
            <w:vAlign w:val="center"/>
          </w:tcPr>
          <w:p>
            <w:pPr>
              <w:pStyle w:val="TableContents"/>
              <w:bidi w:val="0"/>
              <w:spacing w:before="0" w:after="283"/>
              <w:jc w:val="left"/>
              <w:rPr/>
            </w:pPr>
            <w:r>
              <w:rPr/>
              <w:drawing>
                <wp:inline distT="0" distB="0" distL="0" distR="0">
                  <wp:extent cx="1724025"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3"/>
                          <a:stretch>
                            <a:fillRect/>
                          </a:stretch>
                        </pic:blipFill>
                        <pic:spPr bwMode="auto">
                          <a:xfrm>
                            <a:off x="0" y="0"/>
                            <a:ext cx="1724025" cy="276225"/>
                          </a:xfrm>
                          <a:prstGeom prst="rect">
                            <a:avLst/>
                          </a:prstGeom>
                        </pic:spPr>
                      </pic:pic>
                    </a:graphicData>
                  </a:graphic>
                </wp:inline>
              </w:drawing>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 465-7000</w:t>
            </w:r>
          </w:p>
        </w:tc>
      </w:tr>
    </w:tbl>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5.1</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July 10,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Decoy Therapeutics Inc.</w:t>
      </w:r>
    </w:p>
    <w:p>
      <w:pPr>
        <w:pStyle w:val="TextBody"/>
        <w:bidi w:val="0"/>
        <w:jc w:val="left"/>
        <w:rPr>
          <w:rFonts w:ascii="Times New Roman" w:hAnsi="Times New Roman"/>
          <w:color w:val="000000"/>
          <w:sz w:val="20"/>
        </w:rPr>
      </w:pPr>
      <w:r>
        <w:rPr>
          <w:rFonts w:ascii="Times New Roman" w:hAnsi="Times New Roman"/>
          <w:color w:val="000000"/>
          <w:sz w:val="20"/>
        </w:rPr>
        <w:t>2450 Holcombe Blvd., Suite X</w:t>
      </w:r>
    </w:p>
    <w:p>
      <w:pPr>
        <w:pStyle w:val="TextBody"/>
        <w:bidi w:val="0"/>
        <w:jc w:val="left"/>
        <w:rPr>
          <w:rFonts w:ascii="Times New Roman" w:hAnsi="Times New Roman"/>
          <w:color w:val="000000"/>
          <w:sz w:val="20"/>
        </w:rPr>
      </w:pPr>
      <w:r>
        <w:rPr>
          <w:rFonts w:ascii="Times New Roman" w:hAnsi="Times New Roman"/>
          <w:color w:val="000000"/>
          <w:sz w:val="20"/>
        </w:rPr>
        <w:t>Houston, Texas 77021</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 Registration Statement on Form S-1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200" w:after="283"/>
        <w:jc w:val="both"/>
        <w:rPr>
          <w:rFonts w:ascii="Times New Roman" w:hAnsi="Times New Roman"/>
          <w:sz w:val="20"/>
        </w:rPr>
      </w:pPr>
      <w:r>
        <w:rPr>
          <w:rFonts w:ascii="Times New Roman" w:hAnsi="Times New Roman"/>
          <w:color w:val="000000"/>
          <w:sz w:val="20"/>
        </w:rPr>
        <w:t>We have acted as counsel to Decoy Therapeutics Inc., a Delaware corporation (the “</w:t>
      </w:r>
      <w:r>
        <w:rPr>
          <w:rFonts w:ascii="Times New Roman" w:hAnsi="Times New Roman"/>
          <w:b/>
          <w:i/>
          <w:color w:val="000000"/>
          <w:sz w:val="20"/>
        </w:rPr>
        <w:t>Company</w:t>
      </w:r>
      <w:r>
        <w:rPr>
          <w:rFonts w:ascii="Times New Roman" w:hAnsi="Times New Roman"/>
          <w:color w:val="000000"/>
          <w:sz w:val="20"/>
        </w:rPr>
        <w:t>”), in connection with preparing and filing with the U.S. Securities and Exchange Commission (the “</w:t>
      </w:r>
      <w:r>
        <w:rPr>
          <w:rFonts w:ascii="Times New Roman" w:hAnsi="Times New Roman"/>
          <w:b/>
          <w:i/>
          <w:color w:val="000000"/>
          <w:sz w:val="20"/>
        </w:rPr>
        <w:t>Commission</w:t>
      </w:r>
      <w:r>
        <w:rPr>
          <w:rFonts w:ascii="Times New Roman" w:hAnsi="Times New Roman"/>
          <w:color w:val="000000"/>
          <w:sz w:val="20"/>
        </w:rPr>
        <w:t>”) pursuant to the Securities Act of 1933, as amended (the “</w:t>
      </w:r>
      <w:r>
        <w:rPr>
          <w:rFonts w:ascii="Times New Roman" w:hAnsi="Times New Roman"/>
          <w:b/>
          <w:i/>
          <w:color w:val="000000"/>
          <w:sz w:val="20"/>
        </w:rPr>
        <w:t>Securities Act</w:t>
      </w:r>
      <w:r>
        <w:rPr>
          <w:rFonts w:ascii="Times New Roman" w:hAnsi="Times New Roman"/>
          <w:color w:val="000000"/>
          <w:sz w:val="20"/>
        </w:rPr>
        <w:t>”), a Registration Statement on Form S-1 (the “</w:t>
      </w:r>
      <w:r>
        <w:rPr>
          <w:rFonts w:ascii="Times New Roman" w:hAnsi="Times New Roman"/>
          <w:b/>
          <w:i/>
          <w:color w:val="000000"/>
          <w:sz w:val="20"/>
        </w:rPr>
        <w:t>Registration Statement</w:t>
      </w:r>
      <w:r>
        <w:rPr>
          <w:rFonts w:ascii="Times New Roman" w:hAnsi="Times New Roman"/>
          <w:color w:val="000000"/>
          <w:sz w:val="20"/>
        </w:rPr>
        <w:t>”), in connection with the registration under the Securities Act for resale from time to time by the selling stockholders named in the related prospectus included in the Registration Statement (the “</w:t>
      </w:r>
      <w:r>
        <w:rPr>
          <w:rFonts w:ascii="Times New Roman" w:hAnsi="Times New Roman"/>
          <w:b/>
          <w:i/>
          <w:color w:val="000000"/>
          <w:sz w:val="20"/>
        </w:rPr>
        <w:t>Selling Stockholders</w:t>
      </w:r>
      <w:r>
        <w:rPr>
          <w:rFonts w:ascii="Times New Roman" w:hAnsi="Times New Roman"/>
          <w:color w:val="000000"/>
          <w:sz w:val="20"/>
        </w:rPr>
        <w:t>”) of up to 3,766,500 shares (the “</w:t>
      </w:r>
      <w:r>
        <w:rPr>
          <w:rFonts w:ascii="Times New Roman" w:hAnsi="Times New Roman"/>
          <w:b/>
          <w:i/>
          <w:color w:val="000000"/>
          <w:sz w:val="20"/>
        </w:rPr>
        <w:t>Shares</w:t>
      </w:r>
      <w:r>
        <w:rPr>
          <w:rFonts w:ascii="Times New Roman" w:hAnsi="Times New Roman"/>
          <w:color w:val="000000"/>
          <w:sz w:val="20"/>
        </w:rPr>
        <w:t>”) of the Company’s common stock, par value $0.0001 per share (the “</w:t>
      </w:r>
      <w:r>
        <w:rPr>
          <w:rFonts w:ascii="Times New Roman" w:hAnsi="Times New Roman"/>
          <w:b/>
          <w:i/>
          <w:color w:val="000000"/>
          <w:sz w:val="20"/>
        </w:rPr>
        <w:t>Common Stock</w:t>
      </w:r>
      <w:r>
        <w:rPr>
          <w:rFonts w:ascii="Times New Roman" w:hAnsi="Times New Roman"/>
          <w:color w:val="000000"/>
          <w:sz w:val="20"/>
        </w:rPr>
        <w:t>”). The Shares consist of (i) up to 592,217 shares of Common Stock issuable upon the exercise of pre-funded warrants (the “Pre-Funded Warrants”), (ii) up to 2,961,085 shares of Common Stock issuable upon the exercise of Series A common warrants, Series B common warrants and Series C common warrants (collectively, the “Milestone Warrants”) and (iii) up to 213,198 shares of Common Stock issuable upon the exercise of warrants issued to the placement agent and its designee (the “Placement Agent Warrants” and, together with the Pre-Funded Warrants and the Milestone Warrants, the “Warrants”), in each case issued by the Company in a private placement pursuant to or in connection with that certain Securities Purchase Agreement, dated as of June 26, 2026 (the “Purchase Agreement”), by and between the Company and the purchaser named therein, in each case as described in the Registration Statement and the related prospectus. This opinion is being furnished in connection with the requirements of Item 601(b)(5) of Regulation S-K under the Securities Act, and no opinion is expressed herein as to any matter pertaining to the contents of the Registration Statement or the related prospectus, other than as expressly stated herein with respect to the issuance of the Shares.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this opinion letter, we examined originals or copies of such records, instruments, certificates, opinions, memoranda and other documents as in our judgment are necessary or appropriate to enable us to render the opinions expressed below. We have not independently sought to verify factual matters. In conducting our examination, we assumed, without independent investigation, the genuineness and authenticity of all signatures on original documents, the accuracy, completeness and authenticity of all certificates, the authenticity of all documents submitted to us as originals, the conformity to original documents of all documents submitted as copies, and the authenticity of the originals of such copies, the accuracy and completeness of all records made available to us by the Company, and the due authorization, execution and delivery by the Selling Stockholders of all documents where authorization, execution and delivery are prerequisites to the legal effectiveness of such documents. In addition, in connection with this opinion letter, we have assumed that the Shares will be offered in the manner and on the terms identified or referred to in the Registration Statement and the accompanying prospectus, including all supplements and amendments thereto.</w:t>
      </w:r>
    </w:p>
    <w:p>
      <w:pPr>
        <w:pStyle w:val="TextBody"/>
        <w:bidi w:val="0"/>
        <w:spacing w:before="200" w:after="283"/>
        <w:jc w:val="both"/>
        <w:rPr>
          <w:rFonts w:ascii="Times New Roman" w:hAnsi="Times New Roman"/>
          <w:sz w:val="20"/>
        </w:rPr>
      </w:pPr>
      <w:r>
        <w:rPr>
          <w:rFonts w:ascii="Times New Roman" w:hAnsi="Times New Roman"/>
          <w:color w:val="000000"/>
          <w:sz w:val="20"/>
        </w:rPr>
        <w:t>Our opinions herein are limited solely to the matters set forth herein. The law covered by the opinions expressed herein is limited to the Delaware General Corporation Law as in effect on the date hereof (the “</w:t>
      </w:r>
      <w:r>
        <w:rPr>
          <w:rFonts w:ascii="Times New Roman" w:hAnsi="Times New Roman"/>
          <w:b/>
          <w:i/>
          <w:color w:val="000000"/>
          <w:sz w:val="20"/>
        </w:rPr>
        <w:t>DGCL”</w:t>
      </w:r>
      <w:r>
        <w:rPr>
          <w:rFonts w:ascii="Times New Roman" w:hAnsi="Times New Roman"/>
          <w:color w:val="000000"/>
          <w:sz w:val="20"/>
        </w:rPr>
        <w:t>). We are not admitted to practice in the State of Delaware and, with respect to the opinions set forth below, with your permission, we have (i) limited our review to standard compilations available to us of the DGCL, which we have assumed to be accurate and complete, and (ii) not reviewed case law. We express no opinion as to whether the laws of any jurisdiction are applicable to the subject matter hereof. We are not rendering any opinion with respect to federal law, including federal securities laws, or state blue sky securities laws. It is understood that this opinion letter is to be used only in connection with the offer and resale of the Shares while the Registration Statement is effective under the Securities Act.</w:t>
      </w:r>
    </w:p>
    <w:p>
      <w:pPr>
        <w:pStyle w:val="TextBody"/>
        <w:bidi w:val="0"/>
        <w:jc w:val="left"/>
        <w:rPr/>
      </w:pPr>
      <w:r>
        <w:rPr/>
        <w:t> </w:t>
      </w:r>
    </w:p>
    <w:tbl>
      <w:tblPr>
        <w:tblW w:w="6406" w:type="dxa"/>
        <w:jc w:val="left"/>
        <w:tblInd w:w="0" w:type="dxa"/>
        <w:tblLayout w:type="fixed"/>
        <w:tblCellMar>
          <w:top w:w="28" w:type="dxa"/>
          <w:left w:w="28" w:type="dxa"/>
          <w:bottom w:w="28" w:type="dxa"/>
          <w:right w:w="28" w:type="dxa"/>
        </w:tblCellMar>
      </w:tblPr>
      <w:tblGrid>
        <w:gridCol w:w="6406"/>
      </w:tblGrid>
      <w:tr>
        <w:trPr/>
        <w:tc>
          <w:tcPr>
            <w:tcW w:w="6406" w:type="dxa"/>
            <w:tcBorders/>
            <w:vAlign w:val="center"/>
          </w:tcPr>
          <w:p>
            <w:pPr>
              <w:pStyle w:val="TableContents"/>
              <w:bidi w:val="0"/>
              <w:spacing w:before="0" w:after="283"/>
              <w:jc w:val="left"/>
              <w:rPr>
                <w:sz w:val="4"/>
                <w:szCs w:val="4"/>
              </w:rPr>
            </w:pPr>
            <w:r>
              <w:rPr>
                <w:sz w:val="4"/>
                <w:szCs w:val="4"/>
              </w:rPr>
            </w:r>
          </w:p>
        </w:tc>
      </w:tr>
      <w:tr>
        <w:trPr/>
        <w:tc>
          <w:tcPr>
            <w:tcW w:w="640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Honigman LLP  660 Woodward Ave  Suite 2290  Detroit, Michigan 48226</w:t>
            </w:r>
          </w:p>
        </w:tc>
      </w:tr>
    </w:tbl>
    <w:p>
      <w:pPr>
        <w:pStyle w:val="TextBody"/>
        <w:bidi w:val="0"/>
        <w:jc w:val="center"/>
        <w:rPr/>
      </w:pPr>
      <w:r>
        <w:rPr/>
        <w:t> </w:t>
      </w:r>
    </w:p>
    <w:p>
      <w:pPr>
        <w:pStyle w:val="HorizontalLine"/>
        <w:pBdr>
          <w:bottom w:val="double" w:sz="2" w:space="0" w:color="808080"/>
        </w:pBdr>
        <w:bidi w:val="0"/>
        <w:spacing w:before="0" w:after="283"/>
        <w:jc w:val="left"/>
        <w:rPr/>
      </w:pPr>
      <w:r>
        <w:rPr/>
      </w:r>
    </w:p>
    <w:tbl>
      <w:tblPr>
        <w:tblW w:w="4242" w:type="dxa"/>
        <w:jc w:val="left"/>
        <w:tblInd w:w="0" w:type="dxa"/>
        <w:tblLayout w:type="fixed"/>
        <w:tblCellMar>
          <w:top w:w="28" w:type="dxa"/>
          <w:left w:w="28" w:type="dxa"/>
          <w:bottom w:w="28" w:type="dxa"/>
          <w:right w:w="28" w:type="dxa"/>
        </w:tblCellMar>
      </w:tblPr>
      <w:tblGrid>
        <w:gridCol w:w="2816"/>
        <w:gridCol w:w="1426"/>
      </w:tblGrid>
      <w:tr>
        <w:trPr/>
        <w:tc>
          <w:tcPr>
            <w:tcW w:w="28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816" w:type="dxa"/>
            <w:tcBorders>
              <w:top w:val="single" w:sz="8" w:space="0" w:color="000000"/>
              <w:bottom w:val="single" w:sz="8" w:space="0" w:color="000000"/>
            </w:tcBorders>
            <w:tcMar>
              <w:left w:w="0" w:type="dxa"/>
              <w:bottom w:w="160" w:type="dxa"/>
              <w:right w:w="0" w:type="dxa"/>
            </w:tcMar>
            <w:vAlign w:val="center"/>
          </w:tcPr>
          <w:p>
            <w:pPr>
              <w:pStyle w:val="TableContents"/>
              <w:bidi w:val="0"/>
              <w:spacing w:before="0" w:after="283"/>
              <w:jc w:val="left"/>
              <w:rPr/>
            </w:pPr>
            <w:r>
              <w:rPr/>
              <w:drawing>
                <wp:inline distT="0" distB="0" distL="0" distR="0">
                  <wp:extent cx="1724025"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4"/>
                          <a:stretch>
                            <a:fillRect/>
                          </a:stretch>
                        </pic:blipFill>
                        <pic:spPr bwMode="auto">
                          <a:xfrm>
                            <a:off x="0" y="0"/>
                            <a:ext cx="1724025" cy="276225"/>
                          </a:xfrm>
                          <a:prstGeom prst="rect">
                            <a:avLst/>
                          </a:prstGeom>
                        </pic:spPr>
                      </pic:pic>
                    </a:graphicData>
                  </a:graphic>
                </wp:inline>
              </w:drawing>
            </w:r>
          </w:p>
        </w:tc>
        <w:tc>
          <w:tcPr>
            <w:tcW w:w="14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 465-7000</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upon, subject to and limited by the foregoing and the following, we are of the opinion that, when the Shares are issued and delivered to the Selling Stockholders upon exercise of the Warrants against payment in full of the consideration therefor (in an amount not less than the par value thereof) in accordance with the terms and conditions of the applicable Warrants and in the manner described in the Registration Statement and the included prospectus, and upon the due registration of the Shares on the books of the transfer agent and registrar of the Company in the name of or on behalf of the Selling Stockholders, the Shares will be validly issued, fully paid and non-assessable.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giving the opinions set forth above, with respect to the Shares opined on in this opinion letter, we have assumed that (i) at or prior to the time of the delivery of such Shares, the authorization of such Shares will not have been modified or rescinded, and there will not have occurred any change in law affecting such Shares, including their validity or enforceability, (ii) the Company will comply with all applicable notice requirements regarding uncertificated shares provided in the DGCL, (iii) the Purchase Agreement and the Warrants have been duly authorized, executed and delivered by the Company and the other parties thereto and constitute valid and legally binding obligations of the Company enforceable in accordance with their terms; and (iv) upon the issuance of any of the Shares, the total number of shares of Common Stock then issued and outstanding and reserved for issuance will not exceed the total number of shares of Common Stock that the Company is then authorized to issue under its Amended and Restated Certificate of Incorporation, as amended, and by the board of directors of the Company in connection with the offering contemplated by the Registration Statement.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hereby consent to the filing of this opinion letter with the Commission as Exhibit 5.1 to the Registration Statement and to the reference to our firm under the caption “Legal Matters” in the Registration Statement and the related prospectus. In giving such consent, we do not admit that we are within the category of persons whose consent is required by Section 7 of the Securities Act or the rules and regulations promulgated thereunder by the Commission. This opinion speaks only at and as of its date and is based solely on the facts and circumstances known to us as of such date. In addition, in rendering this opinion, we assume no obligation to revise, update or supplement this opinion (i) should the present aforementioned laws be changed by legislative action, judicial decision or otherwise, or (ii) to reflect any facts or circumstances which may hereafter come to our attention.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Very truly yours,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 Honigman LLP</w:t>
      </w:r>
    </w:p>
    <w:p>
      <w:pPr>
        <w:pStyle w:val="TextBody"/>
        <w:bidi w:val="0"/>
        <w:jc w:val="both"/>
        <w:rPr/>
      </w:pPr>
      <w:r>
        <w:rPr/>
        <w:t> </w:t>
      </w:r>
    </w:p>
    <w:p>
      <w:pPr>
        <w:pStyle w:val="TextBody"/>
        <w:bidi w:val="0"/>
        <w:jc w:val="both"/>
        <w:rPr>
          <w:rFonts w:ascii="Times New Roman" w:hAnsi="Times New Roman"/>
          <w:smallCaps/>
          <w:color w:val="000000"/>
          <w:sz w:val="20"/>
        </w:rPr>
      </w:pPr>
      <w:r>
        <w:rPr>
          <w:rFonts w:ascii="Times New Roman" w:hAnsi="Times New Roman"/>
          <w:smallCaps/>
          <w:color w:val="000000"/>
          <w:sz w:val="20"/>
        </w:rPr>
        <w:t>Honigman LLP</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IP/JHK/JPK</w:t>
      </w:r>
    </w:p>
    <w:p>
      <w:pPr>
        <w:pStyle w:val="TextBody"/>
        <w:bidi w:val="0"/>
        <w:jc w:val="left"/>
        <w:rPr/>
      </w:pPr>
      <w:r>
        <w:rPr/>
        <w:t> </w:t>
      </w:r>
    </w:p>
    <w:tbl>
      <w:tblPr>
        <w:tblW w:w="6406" w:type="dxa"/>
        <w:jc w:val="left"/>
        <w:tblInd w:w="0" w:type="dxa"/>
        <w:tblLayout w:type="fixed"/>
        <w:tblCellMar>
          <w:top w:w="28" w:type="dxa"/>
          <w:left w:w="28" w:type="dxa"/>
          <w:bottom w:w="28" w:type="dxa"/>
          <w:right w:w="28" w:type="dxa"/>
        </w:tblCellMar>
      </w:tblPr>
      <w:tblGrid>
        <w:gridCol w:w="6406"/>
      </w:tblGrid>
      <w:tr>
        <w:trPr/>
        <w:tc>
          <w:tcPr>
            <w:tcW w:w="6406" w:type="dxa"/>
            <w:tcBorders/>
            <w:vAlign w:val="center"/>
          </w:tcPr>
          <w:p>
            <w:pPr>
              <w:pStyle w:val="TableContents"/>
              <w:bidi w:val="0"/>
              <w:spacing w:before="0" w:after="283"/>
              <w:jc w:val="left"/>
              <w:rPr>
                <w:sz w:val="4"/>
                <w:szCs w:val="4"/>
              </w:rPr>
            </w:pPr>
            <w:r>
              <w:rPr>
                <w:sz w:val="4"/>
                <w:szCs w:val="4"/>
              </w:rPr>
            </w:r>
          </w:p>
        </w:tc>
      </w:tr>
      <w:tr>
        <w:trPr/>
        <w:tc>
          <w:tcPr>
            <w:tcW w:w="640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Honigman LLP  660 Woodward Ave  Suite 2290  Detroit, Michigan 48226</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333333"/>
          <w:sz w:val="20"/>
        </w:rPr>
      </w:pPr>
      <w:bookmarkStart w:id="29" w:name="dcoy-ex23_1.htm"/>
      <w:bookmarkStart w:id="30" w:name="ksdcoyex23_1"/>
      <w:bookmarkEnd w:id="29"/>
      <w:bookmarkEnd w:id="30"/>
      <w:r>
        <w:rPr>
          <w:rFonts w:ascii="Times New Roman" w:hAnsi="Times New Roman"/>
          <w:b/>
          <w:color w:val="333333"/>
          <w:sz w:val="20"/>
        </w:rPr>
        <w:t>Exhibit 23.1</w:t>
      </w:r>
      <w:r>
        <w:br w:type="page"/>
      </w:r>
    </w:p>
    <w:p>
      <w:pPr>
        <w:pStyle w:val="TextBody"/>
        <w:bidi w:val="0"/>
        <w:spacing w:before="0" w:after="120"/>
        <w:jc w:val="center"/>
        <w:rPr>
          <w:rFonts w:ascii="Times New Roman" w:hAnsi="Times New Roman"/>
          <w:b/>
          <w:color w:val="333333"/>
          <w:sz w:val="20"/>
        </w:rPr>
      </w:pPr>
      <w:r>
        <w:rPr>
          <w:rFonts w:ascii="Times New Roman" w:hAnsi="Times New Roman"/>
          <w:b/>
          <w:color w:val="333333"/>
          <w:sz w:val="20"/>
        </w:rPr>
        <w:t>Consent of Independent Registered Public Accounting Firm</w:t>
      </w:r>
    </w:p>
    <w:p>
      <w:pPr>
        <w:pStyle w:val="TextBody"/>
        <w:bidi w:val="0"/>
        <w:spacing w:before="120" w:after="283"/>
        <w:jc w:val="left"/>
        <w:rPr>
          <w:rFonts w:ascii="Times New Roman" w:hAnsi="Times New Roman"/>
          <w:color w:val="333333"/>
          <w:sz w:val="20"/>
        </w:rPr>
      </w:pPr>
      <w:r>
        <w:rPr>
          <w:rFonts w:ascii="Times New Roman" w:hAnsi="Times New Roman"/>
          <w:color w:val="333333"/>
          <w:sz w:val="20"/>
        </w:rPr>
        <w:t>We consent to the reference to our firm under the caption "Experts" in the Registration Statement (Form S-1) and related Prospectus of Decoy Therapeutics Inc. (formerly Salarius Pharmaceuticals, Inc.) for the registration of up to 3,766,500 shares of its common stock and to the incorporation by reference therein of our report dated March 31, 2026, with respect to the consolidated financial statements of Decoy Therapeutics Inc. included in its Annual Report (Form 10-K) for the year ended December 31, 2025, filed with the Securities and Exchange Commission.</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 Ernst &amp; Young LLP</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Houston, Texas</w:t>
      </w:r>
    </w:p>
    <w:p>
      <w:pPr>
        <w:pStyle w:val="TextBody"/>
        <w:bidi w:val="0"/>
        <w:jc w:val="left"/>
        <w:rPr>
          <w:rFonts w:ascii="Times New Roman" w:hAnsi="Times New Roman"/>
          <w:color w:val="333333"/>
          <w:sz w:val="20"/>
        </w:rPr>
      </w:pPr>
      <w:r>
        <w:rPr>
          <w:rFonts w:ascii="Times New Roman" w:hAnsi="Times New Roman"/>
          <w:color w:val="333333"/>
          <w:sz w:val="20"/>
        </w:rPr>
        <w:t>July 10, 2026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dcoy_exfilingfees.htm"/>
      <w:bookmarkStart w:id="32" w:name="ksdcoy_exfilingfees"/>
      <w:bookmarkEnd w:id="31"/>
      <w:bookmarkEnd w:id="32"/>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107</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Calculation of Filing Fee Tables</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Form S-1</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0" w:after="60"/>
        <w:jc w:val="center"/>
        <w:rPr>
          <w:rFonts w:ascii="Times New Roman" w:hAnsi="Times New Roman"/>
          <w:b/>
          <w:color w:val="000000"/>
          <w:sz w:val="22"/>
        </w:rPr>
      </w:pPr>
      <w:r>
        <w:rPr>
          <w:rFonts w:ascii="Times New Roman" w:hAnsi="Times New Roman"/>
          <w:b/>
          <w:color w:val="000000"/>
          <w:sz w:val="22"/>
        </w:rPr>
        <w:t>Decoy Therapeutics Inc.</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160"/>
        <w:jc w:val="center"/>
        <w:rPr>
          <w:rFonts w:ascii="Times New Roman" w:hAnsi="Times New Roman"/>
          <w:color w:val="000000"/>
          <w:sz w:val="20"/>
          <w:u w:val="single"/>
        </w:rPr>
      </w:pPr>
      <w:r>
        <w:rPr>
          <w:rFonts w:ascii="Times New Roman" w:hAnsi="Times New Roman"/>
          <w:color w:val="000000"/>
          <w:sz w:val="20"/>
          <w:u w:val="single"/>
        </w:rPr>
        <w:t>Table 1: Newly Registered and Carry Forward Securities</w:t>
      </w:r>
    </w:p>
    <w:tbl>
      <w:tblPr>
        <w:tblW w:w="10205" w:type="dxa"/>
        <w:jc w:val="left"/>
        <w:tblInd w:w="0" w:type="dxa"/>
        <w:tblLayout w:type="fixed"/>
        <w:tblCellMar>
          <w:top w:w="28" w:type="dxa"/>
          <w:left w:w="28" w:type="dxa"/>
          <w:bottom w:w="28" w:type="dxa"/>
          <w:right w:w="28" w:type="dxa"/>
        </w:tblCellMar>
      </w:tblPr>
      <w:tblGrid>
        <w:gridCol w:w="587"/>
        <w:gridCol w:w="812"/>
        <w:gridCol w:w="1204"/>
        <w:gridCol w:w="1366"/>
        <w:gridCol w:w="1159"/>
        <w:gridCol w:w="1387"/>
        <w:gridCol w:w="1512"/>
        <w:gridCol w:w="871"/>
        <w:gridCol w:w="1307"/>
      </w:tblGrid>
      <w:tr>
        <w:trPr/>
        <w:tc>
          <w:tcPr>
            <w:tcW w:w="587" w:type="dxa"/>
            <w:tcBorders/>
            <w:shd w:fill="FFFFFF" w:val="clear"/>
            <w:vAlign w:val="center"/>
          </w:tcPr>
          <w:p>
            <w:pPr>
              <w:pStyle w:val="TableContents"/>
              <w:bidi w:val="0"/>
              <w:spacing w:before="0" w:after="283"/>
              <w:jc w:val="left"/>
              <w:rPr>
                <w:sz w:val="4"/>
                <w:szCs w:val="4"/>
              </w:rPr>
            </w:pPr>
            <w:r>
              <w:rPr>
                <w:sz w:val="4"/>
                <w:szCs w:val="4"/>
              </w:rPr>
            </w:r>
          </w:p>
        </w:tc>
        <w:tc>
          <w:tcPr>
            <w:tcW w:w="812" w:type="dxa"/>
            <w:tcBorders/>
            <w:shd w:fill="FFFFFF" w:val="clear"/>
            <w:vAlign w:val="center"/>
          </w:tcPr>
          <w:p>
            <w:pPr>
              <w:pStyle w:val="TableContents"/>
              <w:bidi w:val="0"/>
              <w:spacing w:before="0" w:after="283"/>
              <w:jc w:val="left"/>
              <w:rPr>
                <w:sz w:val="4"/>
                <w:szCs w:val="4"/>
              </w:rPr>
            </w:pPr>
            <w:r>
              <w:rPr>
                <w:sz w:val="4"/>
                <w:szCs w:val="4"/>
              </w:rPr>
            </w:r>
          </w:p>
        </w:tc>
        <w:tc>
          <w:tcPr>
            <w:tcW w:w="1204"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159" w:type="dxa"/>
            <w:tcBorders/>
            <w:shd w:fill="FFFFFF" w:val="clear"/>
            <w:vAlign w:val="center"/>
          </w:tcPr>
          <w:p>
            <w:pPr>
              <w:pStyle w:val="TableContents"/>
              <w:bidi w:val="0"/>
              <w:spacing w:before="0" w:after="283"/>
              <w:jc w:val="left"/>
              <w:rPr>
                <w:sz w:val="4"/>
                <w:szCs w:val="4"/>
              </w:rPr>
            </w:pPr>
            <w:r>
              <w:rPr>
                <w:sz w:val="4"/>
                <w:szCs w:val="4"/>
              </w:rPr>
            </w:r>
          </w:p>
        </w:tc>
        <w:tc>
          <w:tcPr>
            <w:tcW w:w="1387" w:type="dxa"/>
            <w:tcBorders/>
            <w:shd w:fill="FFFFFF" w:val="clear"/>
            <w:vAlign w:val="center"/>
          </w:tcPr>
          <w:p>
            <w:pPr>
              <w:pStyle w:val="TableContents"/>
              <w:bidi w:val="0"/>
              <w:spacing w:before="0" w:after="283"/>
              <w:jc w:val="left"/>
              <w:rPr>
                <w:sz w:val="4"/>
                <w:szCs w:val="4"/>
              </w:rPr>
            </w:pPr>
            <w:r>
              <w:rPr>
                <w:sz w:val="4"/>
                <w:szCs w:val="4"/>
              </w:rPr>
            </w:r>
          </w:p>
        </w:tc>
        <w:tc>
          <w:tcPr>
            <w:tcW w:w="1512"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307" w:type="dxa"/>
            <w:tcBorders/>
            <w:shd w:fill="FFFFFF" w:val="clear"/>
            <w:vAlign w:val="center"/>
          </w:tcPr>
          <w:p>
            <w:pPr>
              <w:pStyle w:val="TableContents"/>
              <w:bidi w:val="0"/>
              <w:spacing w:before="0" w:after="283"/>
              <w:jc w:val="left"/>
              <w:rPr>
                <w:sz w:val="4"/>
                <w:szCs w:val="4"/>
              </w:rPr>
            </w:pPr>
            <w:r>
              <w:rPr>
                <w:sz w:val="4"/>
                <w:szCs w:val="4"/>
              </w:rPr>
            </w:r>
          </w:p>
        </w:tc>
      </w:tr>
      <w:tr>
        <w:trPr/>
        <w:tc>
          <w:tcPr>
            <w:tcW w:w="587" w:type="dxa"/>
            <w:tcBorders>
              <w:top w:val="single" w:sz="4" w:space="0" w:color="000000"/>
              <w:left w:val="single" w:sz="4" w:space="0" w:color="000000"/>
              <w:bottom w:val="single" w:sz="4" w:space="0" w:color="000000"/>
              <w:right w:val="single" w:sz="4" w:space="0" w:color="000000"/>
            </w:tcBorders>
            <w:tcMar>
              <w:top w:w="40" w:type="dxa"/>
              <w:left w:w="60" w:type="dxa"/>
              <w:bottom w:w="40" w:type="dxa"/>
              <w:right w:w="60" w:type="dxa"/>
            </w:tcMar>
            <w:vAlign w:val="center"/>
          </w:tcPr>
          <w:p>
            <w:pPr>
              <w:pStyle w:val="TableContents"/>
              <w:bidi w:val="0"/>
              <w:spacing w:before="0" w:after="283"/>
              <w:jc w:val="center"/>
              <w:rPr/>
            </w:pPr>
            <w:r>
              <w:rPr/>
              <w:t> </w:t>
            </w:r>
          </w:p>
        </w:tc>
        <w:tc>
          <w:tcPr>
            <w:tcW w:w="812" w:type="dxa"/>
            <w:tcBorders>
              <w:top w:val="single" w:sz="4" w:space="0" w:color="000000"/>
              <w:bottom w:val="single" w:sz="4" w:space="0" w:color="000000"/>
              <w:right w:val="single" w:sz="4" w:space="0" w:color="000000"/>
            </w:tcBorders>
            <w:tcMar>
              <w:top w:w="4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Type</w:t>
            </w:r>
          </w:p>
        </w:tc>
        <w:tc>
          <w:tcPr>
            <w:tcW w:w="1204" w:type="dxa"/>
            <w:tcBorders>
              <w:top w:val="single" w:sz="4" w:space="0" w:color="000000"/>
              <w:bottom w:val="single" w:sz="4" w:space="0" w:color="000000"/>
              <w:right w:val="single" w:sz="4" w:space="0" w:color="000000"/>
            </w:tcBorders>
            <w:tcMar>
              <w:top w:w="4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Class Title</w:t>
            </w:r>
          </w:p>
        </w:tc>
        <w:tc>
          <w:tcPr>
            <w:tcW w:w="1366" w:type="dxa"/>
            <w:tcBorders>
              <w:top w:val="single" w:sz="4" w:space="0" w:color="000000"/>
              <w:bottom w:val="single" w:sz="4" w:space="0" w:color="000000"/>
              <w:right w:val="single" w:sz="4" w:space="0" w:color="000000"/>
            </w:tcBorders>
            <w:tcMar>
              <w:top w:w="4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Calculation or Carry Forward Rule</w:t>
            </w:r>
          </w:p>
        </w:tc>
        <w:tc>
          <w:tcPr>
            <w:tcW w:w="1159" w:type="dxa"/>
            <w:tcBorders>
              <w:top w:val="single" w:sz="4" w:space="0" w:color="000000"/>
              <w:bottom w:val="single" w:sz="4" w:space="0" w:color="000000"/>
              <w:right w:val="single" w:sz="4" w:space="0" w:color="000000"/>
            </w:tcBorders>
            <w:tcMar>
              <w:top w:w="4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Registered(1)(2)</w:t>
            </w:r>
          </w:p>
        </w:tc>
        <w:tc>
          <w:tcPr>
            <w:tcW w:w="1387" w:type="dxa"/>
            <w:tcBorders>
              <w:top w:val="single" w:sz="4" w:space="0" w:color="000000"/>
              <w:bottom w:val="single" w:sz="4" w:space="0" w:color="000000"/>
              <w:right w:val="single" w:sz="4" w:space="0" w:color="000000"/>
            </w:tcBorders>
            <w:tcMar>
              <w:top w:w="4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Proposed Maximum Offering Price Per Unit(3)</w:t>
            </w:r>
          </w:p>
        </w:tc>
        <w:tc>
          <w:tcPr>
            <w:tcW w:w="1512" w:type="dxa"/>
            <w:tcBorders>
              <w:top w:val="single" w:sz="4" w:space="0" w:color="000000"/>
              <w:bottom w:val="single" w:sz="4" w:space="0" w:color="000000"/>
              <w:right w:val="single" w:sz="4" w:space="0" w:color="000000"/>
            </w:tcBorders>
            <w:tcMar>
              <w:top w:w="4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Aggregate Offering Price</w:t>
            </w:r>
          </w:p>
        </w:tc>
        <w:tc>
          <w:tcPr>
            <w:tcW w:w="871" w:type="dxa"/>
            <w:tcBorders>
              <w:top w:val="single" w:sz="4" w:space="0" w:color="000000"/>
              <w:bottom w:val="single" w:sz="4" w:space="0" w:color="000000"/>
              <w:right w:val="single" w:sz="4" w:space="0" w:color="000000"/>
            </w:tcBorders>
            <w:tcMar>
              <w:top w:w="4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Rate</w:t>
            </w:r>
          </w:p>
        </w:tc>
        <w:tc>
          <w:tcPr>
            <w:tcW w:w="1307" w:type="dxa"/>
            <w:tcBorders>
              <w:top w:val="single" w:sz="4" w:space="0" w:color="000000"/>
              <w:bottom w:val="single" w:sz="4" w:space="0" w:color="000000"/>
              <w:right w:val="single" w:sz="4" w:space="0" w:color="000000"/>
            </w:tcBorders>
            <w:tcMar>
              <w:top w:w="40" w:type="dxa"/>
              <w:left w:w="0" w:type="dxa"/>
              <w:bottom w:w="40" w:type="dxa"/>
              <w:right w:w="6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of Registration Fee</w:t>
            </w:r>
          </w:p>
        </w:tc>
      </w:tr>
      <w:tr>
        <w:trPr/>
        <w:tc>
          <w:tcPr>
            <w:tcW w:w="10205" w:type="dxa"/>
            <w:gridSpan w:val="9"/>
            <w:tcBorders>
              <w:left w:val="single" w:sz="4" w:space="0" w:color="000000"/>
              <w:bottom w:val="single" w:sz="4" w:space="0" w:color="000000"/>
              <w:right w:val="single" w:sz="4" w:space="0" w:color="000000"/>
            </w:tcBorders>
            <w:shd w:fill="F2F2F2" w:val="clear"/>
            <w:tcMar>
              <w:top w:w="0" w:type="dxa"/>
              <w:left w:w="60" w:type="dxa"/>
              <w:bottom w:w="40" w:type="dxa"/>
              <w:right w:w="6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Newly Registered Securities</w:t>
            </w:r>
          </w:p>
        </w:tc>
      </w:tr>
      <w:tr>
        <w:trPr/>
        <w:tc>
          <w:tcPr>
            <w:tcW w:w="587" w:type="dxa"/>
            <w:tcBorders>
              <w:left w:val="single" w:sz="4" w:space="0" w:color="000000"/>
              <w:bottom w:val="single" w:sz="4" w:space="0" w:color="000000"/>
              <w:right w:val="single" w:sz="4" w:space="0" w:color="000000"/>
            </w:tcBorders>
            <w:tcMar>
              <w:top w:w="0" w:type="dxa"/>
              <w:left w:w="60" w:type="dxa"/>
              <w:bottom w:w="40" w:type="dxa"/>
              <w:right w:w="6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Fees to Be Paid</w:t>
            </w:r>
          </w:p>
        </w:tc>
        <w:tc>
          <w:tcPr>
            <w:tcW w:w="812"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Equity</w:t>
            </w:r>
          </w:p>
        </w:tc>
        <w:tc>
          <w:tcPr>
            <w:tcW w:w="1204"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366"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w:t>
            </w:r>
          </w:p>
        </w:tc>
        <w:tc>
          <w:tcPr>
            <w:tcW w:w="1159"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3,766,500</w:t>
            </w:r>
          </w:p>
        </w:tc>
        <w:tc>
          <w:tcPr>
            <w:tcW w:w="1387"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w:t>
            </w:r>
          </w:p>
        </w:tc>
        <w:tc>
          <w:tcPr>
            <w:tcW w:w="1512"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$27,909,765.00</w:t>
            </w:r>
          </w:p>
        </w:tc>
        <w:tc>
          <w:tcPr>
            <w:tcW w:w="871"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0.0001381</w:t>
            </w:r>
          </w:p>
        </w:tc>
        <w:tc>
          <w:tcPr>
            <w:tcW w:w="1307"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$3,854.34</w:t>
            </w:r>
          </w:p>
        </w:tc>
      </w:tr>
      <w:tr>
        <w:trPr/>
        <w:tc>
          <w:tcPr>
            <w:tcW w:w="6515" w:type="dxa"/>
            <w:gridSpan w:val="6"/>
            <w:tcBorders>
              <w:left w:val="single" w:sz="4" w:space="0" w:color="000000"/>
              <w:bottom w:val="single" w:sz="4" w:space="0" w:color="000000"/>
              <w:right w:val="single" w:sz="4" w:space="0" w:color="000000"/>
            </w:tcBorders>
            <w:tcMar>
              <w:top w:w="0" w:type="dxa"/>
              <w:left w:w="6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Total Offering Amounts</w:t>
            </w:r>
          </w:p>
        </w:tc>
        <w:tc>
          <w:tcPr>
            <w:tcW w:w="1512"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$27,909,765.00</w:t>
            </w:r>
          </w:p>
        </w:tc>
        <w:tc>
          <w:tcPr>
            <w:tcW w:w="871"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left"/>
              <w:rPr/>
            </w:pPr>
            <w:r>
              <w:rPr/>
              <w:t> </w:t>
            </w:r>
          </w:p>
        </w:tc>
        <w:tc>
          <w:tcPr>
            <w:tcW w:w="1307"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$3,854.34</w:t>
            </w:r>
          </w:p>
        </w:tc>
      </w:tr>
      <w:tr>
        <w:trPr/>
        <w:tc>
          <w:tcPr>
            <w:tcW w:w="6515" w:type="dxa"/>
            <w:gridSpan w:val="6"/>
            <w:tcBorders>
              <w:left w:val="single" w:sz="4" w:space="0" w:color="000000"/>
              <w:bottom w:val="single" w:sz="4" w:space="0" w:color="000000"/>
              <w:right w:val="single" w:sz="4" w:space="0" w:color="000000"/>
            </w:tcBorders>
            <w:tcMar>
              <w:top w:w="0" w:type="dxa"/>
              <w:left w:w="6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Total Fees Previously Paid</w:t>
            </w:r>
          </w:p>
        </w:tc>
        <w:tc>
          <w:tcPr>
            <w:tcW w:w="1512"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pPr>
            <w:r>
              <w:rPr/>
              <w:t> </w:t>
            </w:r>
          </w:p>
        </w:tc>
        <w:tc>
          <w:tcPr>
            <w:tcW w:w="871"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left"/>
              <w:rPr/>
            </w:pPr>
            <w:r>
              <w:rPr/>
              <w:t> </w:t>
            </w:r>
          </w:p>
        </w:tc>
        <w:tc>
          <w:tcPr>
            <w:tcW w:w="1307"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color w:val="000000"/>
              </w:rPr>
            </w:pPr>
            <w:r>
              <w:rPr>
                <w:color w:val="000000"/>
              </w:rPr>
              <w:t>—</w:t>
            </w:r>
          </w:p>
        </w:tc>
      </w:tr>
      <w:tr>
        <w:trPr/>
        <w:tc>
          <w:tcPr>
            <w:tcW w:w="6515" w:type="dxa"/>
            <w:gridSpan w:val="6"/>
            <w:tcBorders>
              <w:left w:val="single" w:sz="4" w:space="0" w:color="000000"/>
              <w:bottom w:val="single" w:sz="4" w:space="0" w:color="000000"/>
              <w:right w:val="single" w:sz="4" w:space="0" w:color="000000"/>
            </w:tcBorders>
            <w:tcMar>
              <w:top w:w="0" w:type="dxa"/>
              <w:left w:w="6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Total Fee Offsets</w:t>
            </w:r>
          </w:p>
        </w:tc>
        <w:tc>
          <w:tcPr>
            <w:tcW w:w="1512"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pPr>
            <w:r>
              <w:rPr/>
              <w:t> </w:t>
            </w:r>
          </w:p>
        </w:tc>
        <w:tc>
          <w:tcPr>
            <w:tcW w:w="871"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left"/>
              <w:rPr/>
            </w:pPr>
            <w:r>
              <w:rPr/>
              <w:t> </w:t>
            </w:r>
          </w:p>
        </w:tc>
        <w:tc>
          <w:tcPr>
            <w:tcW w:w="1307"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color w:val="000000"/>
              </w:rPr>
            </w:pPr>
            <w:r>
              <w:rPr>
                <w:color w:val="000000"/>
              </w:rPr>
              <w:t>—</w:t>
            </w:r>
          </w:p>
        </w:tc>
      </w:tr>
      <w:tr>
        <w:trPr/>
        <w:tc>
          <w:tcPr>
            <w:tcW w:w="6515" w:type="dxa"/>
            <w:gridSpan w:val="6"/>
            <w:tcBorders>
              <w:left w:val="single" w:sz="4" w:space="0" w:color="000000"/>
              <w:bottom w:val="single" w:sz="4" w:space="0" w:color="000000"/>
              <w:right w:val="single" w:sz="4" w:space="0" w:color="000000"/>
            </w:tcBorders>
            <w:tcMar>
              <w:top w:w="0" w:type="dxa"/>
              <w:left w:w="60" w:type="dxa"/>
              <w:bottom w:w="40" w:type="dxa"/>
              <w:right w:w="6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Net Fee Due</w:t>
            </w:r>
          </w:p>
        </w:tc>
        <w:tc>
          <w:tcPr>
            <w:tcW w:w="1512"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pPr>
            <w:r>
              <w:rPr/>
              <w:t> </w:t>
            </w:r>
          </w:p>
        </w:tc>
        <w:tc>
          <w:tcPr>
            <w:tcW w:w="871"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left"/>
              <w:rPr/>
            </w:pPr>
            <w:r>
              <w:rPr/>
              <w:t> </w:t>
            </w:r>
          </w:p>
        </w:tc>
        <w:tc>
          <w:tcPr>
            <w:tcW w:w="1307" w:type="dxa"/>
            <w:tcBorders>
              <w:bottom w:val="single" w:sz="4" w:space="0" w:color="000000"/>
              <w:right w:val="single" w:sz="4" w:space="0" w:color="000000"/>
            </w:tcBorders>
            <w:tcMar>
              <w:top w:w="0" w:type="dxa"/>
              <w:left w:w="0" w:type="dxa"/>
              <w:bottom w:w="40" w:type="dxa"/>
              <w:right w:w="6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$3,854.34</w:t>
            </w:r>
          </w:p>
        </w:tc>
      </w:tr>
    </w:tbl>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(1) Pursuant to Rule 416(a) under the Securities Act of 1933, as amended (the “Securities Act”), this Registration Statement shall also cover an indeterminate number of additional shares of common stock, par value $0.0001 per share (“Common Stock”), of Decoy Therapeutics Inc. (the “Registrant”) as may be issued or issuable resulting from stock splits, stock dividends or similar transactions.</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(2) Consists of (i) up to 592,217 shares of Common Stock issuable upon exercise of pre-funded warrants (the “Pre-Funded Warrants”), (ii) up to 2,961,085 shares of Common Stock issuable upon exercise of milestone-based Series A common warrants, Series B common warrants and Series C common warrants (collectively, the “Milestone Warrants”) and (iii) up to 213,198 shares of Common Stock issuable upon exercise of warrants issued to the placement agent and its designee (the “Placement Agent Warrants” and, together with the Pre-Funded Warrants and the Milestone Warrants, the “Warrants”), in each case issued in a private placement that closed on June 29, 2026. The Registrant will not receive any proceeds from the resale of such shares by the selling stockholders.</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(3) Estimated solely for the purpose of calculating the registration fee pursuant to Rule 457(c) of the Securities Act, based on the average of the high and low prices for a share of the Registrant’s Common Stock as reported on the Nasdaq Stock Market, LLC on July 6, 2026, which is a date within five business days of the filing of the Registration Statement.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color w:val="000000"/>
          <w:sz w:val="20"/>
          <w:u w:val="single"/>
        </w:rPr>
      </w:pPr>
      <w:r>
        <w:rPr>
          <w:rFonts w:ascii="Times New Roman" w:hAnsi="Times New Roman"/>
          <w:color w:val="000000"/>
          <w:sz w:val="20"/>
          <w:u w:val="single"/>
        </w:rPr>
        <w:t>Table 2: Fee Offset Claims and Sources</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N/A</w:t>
      </w:r>
    </w:p>
    <w:p>
      <w:pPr>
        <w:pStyle w:val="TextBody"/>
        <w:bidi w:val="0"/>
        <w:spacing w:before="0" w:after="160"/>
        <w:jc w:val="center"/>
        <w:rPr>
          <w:rFonts w:ascii="Times New Roman" w:hAnsi="Times New Roman"/>
          <w:color w:val="000000"/>
          <w:sz w:val="20"/>
          <w:u w:val="single"/>
        </w:rPr>
      </w:pPr>
      <w:r>
        <w:rPr>
          <w:rFonts w:ascii="Times New Roman" w:hAnsi="Times New Roman"/>
          <w:color w:val="000000"/>
          <w:sz w:val="20"/>
          <w:u w:val="single"/>
        </w:rPr>
        <w:t>Table 3: Combined Prospectuses</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N/A</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15219/000119312526134897/dcoy-20251231.htm" TargetMode="External"/><Relationship Id="rId4" Type="http://schemas.openxmlformats.org/officeDocument/2006/relationships/hyperlink" Target="https://www.sec.gov/Archives/edgar/data/1615219/000119312526195909/dcoy-20251231.htm" TargetMode="External"/><Relationship Id="rId5" Type="http://schemas.openxmlformats.org/officeDocument/2006/relationships/hyperlink" Target="https://www.sec.gov/Archives/edgar/data/1615219/000119312526214816/dcoy-20260331.htm" TargetMode="External"/><Relationship Id="rId6" Type="http://schemas.openxmlformats.org/officeDocument/2006/relationships/hyperlink" Target="https://www.sec.gov/Archives/edgar/data/1615219/000161521926000003/flks-20251231.htm" TargetMode="External"/><Relationship Id="rId7" Type="http://schemas.openxmlformats.org/officeDocument/2006/relationships/hyperlink" Target="https://www.sec.gov/Archives/edgar/data/1615219/000161521926000005/flks-20251231.htm" TargetMode="External"/><Relationship Id="rId8" Type="http://schemas.openxmlformats.org/officeDocument/2006/relationships/hyperlink" Target="https://www.sec.gov/Archives/edgar/data/1615219/000161521926000013/flks-20260108.htm" TargetMode="External"/><Relationship Id="rId9" Type="http://schemas.openxmlformats.org/officeDocument/2006/relationships/hyperlink" Target="https://www.sec.gov/Archives/edgar/data/1615219/000119312526068813/dcoy-20260224.htm" TargetMode="External"/><Relationship Id="rId10" Type="http://schemas.openxmlformats.org/officeDocument/2006/relationships/hyperlink" Target="https://www.sec.gov/Archives/edgar/data/1615219/000119312526092748/dcoy-20260305.htm" TargetMode="External"/><Relationship Id="rId11" Type="http://schemas.openxmlformats.org/officeDocument/2006/relationships/hyperlink" Target="https://www.sec.gov/Archives/edgar/data/1615219/000119312526139145/dcoy-20260331.htm" TargetMode="External"/><Relationship Id="rId12" Type="http://schemas.openxmlformats.org/officeDocument/2006/relationships/hyperlink" Target="https://www.sec.gov/Archives/edgar/data/1615219/000119312526230749/dcoy-20260519.htm" TargetMode="External"/><Relationship Id="rId13" Type="http://schemas.openxmlformats.org/officeDocument/2006/relationships/hyperlink" Target="https://www.sec.gov/ix?doc=/Archives/edgar/data/0001615219/000119312526286737/dcoy-20260626.htm" TargetMode="External"/><Relationship Id="rId14" Type="http://schemas.openxmlformats.org/officeDocument/2006/relationships/hyperlink" Target="https://www.sec.gov/Archives/edgar/data/1615219/000110465915004043/a14-23004_88a12b.htm" TargetMode="External"/><Relationship Id="rId15" Type="http://schemas.openxmlformats.org/officeDocument/2006/relationships/hyperlink" Target="https://www.sec.gov/Archives/edgar/data/1615219/000119312526134897/dcoy-ex4_9.htm" TargetMode="External"/><Relationship Id="rId16" Type="http://schemas.openxmlformats.org/officeDocument/2006/relationships/hyperlink" Target="https://www.sec.gov/ix?doc=/Archives/edgar/data/1615219/000119312526134897/dcoy-20251231.htm" TargetMode="External"/><Relationship Id="rId17" Type="http://schemas.openxmlformats.org/officeDocument/2006/relationships/image" Target="media/image1.jpeg"/><Relationship Id="rId18" Type="http://schemas.openxmlformats.org/officeDocument/2006/relationships/hyperlink" Target="https://www.sec.gov/Archives/edgar/data/1615219/000110465915007801/a15-4061_1ex3d1.htm" TargetMode="External"/><Relationship Id="rId19" Type="http://schemas.openxmlformats.org/officeDocument/2006/relationships/hyperlink" Target="https://www.sec.gov/Archives/edgar/data/1615219/000119312519199074/d754556dex31.htm" TargetMode="External"/><Relationship Id="rId20" Type="http://schemas.openxmlformats.org/officeDocument/2006/relationships/hyperlink" Target="https://www.sec.gov/Archives/edgar/data/1615219/000161521922000135/exhibit31.htm" TargetMode="External"/><Relationship Id="rId21" Type="http://schemas.openxmlformats.org/officeDocument/2006/relationships/hyperlink" Target="https://www.sec.gov/Archives/edgar/data/1615219/000161521924000045/slrx-certificateofamendm.htm" TargetMode="External"/><Relationship Id="rId22" Type="http://schemas.openxmlformats.org/officeDocument/2006/relationships/hyperlink" Target="https://www.sec.gov/Archives/edgar/data/1615219/000161521925000101/slrx-reversestocksplitamen.htm" TargetMode="External"/><Relationship Id="rId23" Type="http://schemas.openxmlformats.org/officeDocument/2006/relationships/hyperlink" Target="https://www.sec.gov/Archives/edgar/data/1615219/000161521926000013/exhibit31-delawarecertific.htm" TargetMode="External"/><Relationship Id="rId24" Type="http://schemas.openxmlformats.org/officeDocument/2006/relationships/hyperlink" Target="https://www.sec.gov/Archives/edgar/data/1615219/000119312526092748/dcoy-ex3_1.htm" TargetMode="External"/><Relationship Id="rId25" Type="http://schemas.openxmlformats.org/officeDocument/2006/relationships/hyperlink" Target="https://www.sec.gov/Archives/edgar/data/1615219/000119312519199074/d754556dex32.htm" TargetMode="External"/><Relationship Id="rId26" Type="http://schemas.openxmlformats.org/officeDocument/2006/relationships/hyperlink" Target="https://www.sec.gov/Archives/edgar/data/1615219/000161521922000034/salarius-bylawsamendment33.htm" TargetMode="External"/><Relationship Id="rId27" Type="http://schemas.openxmlformats.org/officeDocument/2006/relationships/hyperlink" Target="https://www.sec.gov/Archives/edgar/data/1615219/000161521926000013/exhibit32-secondamendedres.htm" TargetMode="External"/><Relationship Id="rId28" Type="http://schemas.openxmlformats.org/officeDocument/2006/relationships/hyperlink" Target="https://www.sec.gov/Archives/edgar/data/1615219/000161521925000135/certificateofdesignations-a.htm" TargetMode="External"/><Relationship Id="rId29" Type="http://schemas.openxmlformats.org/officeDocument/2006/relationships/hyperlink" Target="https://www.sec.gov/Archives/edgar/data/1615219/000161521925000135/certificateofdesignations-.htm" TargetMode="External"/><Relationship Id="rId30" Type="http://schemas.openxmlformats.org/officeDocument/2006/relationships/hyperlink" Target="https://www.sec.gov/Archives/edgar/data/1615219/000104746915000197/a2222689zex-4_1.htm" TargetMode="External"/><Relationship Id="rId31" Type="http://schemas.openxmlformats.org/officeDocument/2006/relationships/hyperlink" Target="https://www.sec.gov/Archives/edgar/data/0001615219/000119312526286737/dcoy-ex4_1.htm" TargetMode="External"/><Relationship Id="rId32" Type="http://schemas.openxmlformats.org/officeDocument/2006/relationships/hyperlink" Target="https://www.sec.gov/Archives/edgar/data/0001615219/000119312526286737/dcoy-ex4_1.htm" TargetMode="External"/><Relationship Id="rId33" Type="http://schemas.openxmlformats.org/officeDocument/2006/relationships/hyperlink" Target="https://www.sec.gov/Archives/edgar/data/1615219/000119312526286737/dcoy-ex4_2.htm" TargetMode="External"/><Relationship Id="rId34" Type="http://schemas.openxmlformats.org/officeDocument/2006/relationships/hyperlink" Target="https://www.sec.gov/Archives/edgar/data/1615219/000119312526286737/dcoy-ex4_3.htm" TargetMode="External"/><Relationship Id="rId35" Type="http://schemas.openxmlformats.org/officeDocument/2006/relationships/hyperlink" Target="https://www.sec.gov/Archives/edgar/data/1615219/000119312526286737/dcoy-ex4_4.htm" TargetMode="External"/><Relationship Id="rId36" Type="http://schemas.openxmlformats.org/officeDocument/2006/relationships/hyperlink" Target="https://www.sec.gov/Archives/edgar/data/1615219/000119312526286737/dcoy-ex4_5.htm" TargetMode="External"/><Relationship Id="rId37" Type="http://schemas.openxmlformats.org/officeDocument/2006/relationships/hyperlink" Target="https://www.sec.gov/Archives/edgar/data/1615219/000161521924000092/slrx-ex101xsecuritiespurch.htm" TargetMode="External"/><Relationship Id="rId38" Type="http://schemas.openxmlformats.org/officeDocument/2006/relationships/hyperlink" Target="https://www.sec.gov/Archives/edgar/data/1615219/000161521924000092/slrx-ex102xregistrationrig.htm" TargetMode="External"/><Relationship Id="rId39" Type="http://schemas.openxmlformats.org/officeDocument/2006/relationships/hyperlink" Target="https://www.sec.gov/Archives/edgar/data/1615219/000119312526286737/dcoy-ex10_1.htm" TargetMode="External"/><Relationship Id="rId40" Type="http://schemas.openxmlformats.org/officeDocument/2006/relationships/hyperlink" Target="https://www.sec.gov/Archives/edgar/data/1615219/000119312526286737/dcoy-ex10_2.htm" TargetMode="External"/><Relationship Id="rId41" Type="http://schemas.openxmlformats.org/officeDocument/2006/relationships/hyperlink" Target="https://www.sec.gov/Archives/edgar/data/1615219/000119312526286737/dcoy-ex10_3.htm" TargetMode="External"/><Relationship Id="rId42" Type="http://schemas.openxmlformats.org/officeDocument/2006/relationships/hyperlink" Target="https://www.sec.gov/Archives/edgar/data/1615219/000119312526286737/dcoy-ex10_4.htm" TargetMode="External"/><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15760</Words>
  <Characters>83967</Characters>
  <CharactersWithSpaces>99240</CharactersWithSpaces>
  <Paragraphs>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